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C2" w:rsidRDefault="00F326C2" w:rsidP="00F326C2">
      <w:pPr>
        <w:rPr>
          <w:rFonts w:ascii="Times New Roman" w:hAnsi="Times New Roman" w:cs="Times New Roman"/>
          <w:b/>
          <w:sz w:val="32"/>
          <w:szCs w:val="32"/>
        </w:rPr>
      </w:pPr>
      <w:bookmarkStart w:id="0" w:name="_GoBack"/>
      <w:bookmarkEnd w:id="0"/>
      <w:r w:rsidRPr="00FE6F97">
        <w:rPr>
          <w:noProof/>
          <w:lang w:eastAsia="fr-FR"/>
        </w:rPr>
        <w:drawing>
          <wp:inline distT="0" distB="0" distL="0" distR="0">
            <wp:extent cx="2087880" cy="11430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1143000"/>
                    </a:xfrm>
                    <a:prstGeom prst="rect">
                      <a:avLst/>
                    </a:prstGeom>
                    <a:noFill/>
                    <a:ln>
                      <a:noFill/>
                    </a:ln>
                  </pic:spPr>
                </pic:pic>
              </a:graphicData>
            </a:graphic>
          </wp:inline>
        </w:drawing>
      </w:r>
      <w:r>
        <w:rPr>
          <w:rFonts w:ascii="Times New Roman" w:hAnsi="Times New Roman" w:cs="Times New Roman"/>
          <w:b/>
          <w:sz w:val="32"/>
          <w:szCs w:val="32"/>
        </w:rPr>
        <w:t xml:space="preserve">                                                </w:t>
      </w:r>
      <w:r w:rsidRPr="00FE6F97">
        <w:rPr>
          <w:noProof/>
          <w:lang w:eastAsia="fr-FR"/>
        </w:rPr>
        <w:drawing>
          <wp:inline distT="0" distB="0" distL="0" distR="0">
            <wp:extent cx="1188720" cy="14325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432560"/>
                    </a:xfrm>
                    <a:prstGeom prst="rect">
                      <a:avLst/>
                    </a:prstGeom>
                    <a:noFill/>
                    <a:ln>
                      <a:noFill/>
                    </a:ln>
                  </pic:spPr>
                </pic:pic>
              </a:graphicData>
            </a:graphic>
          </wp:inline>
        </w:drawing>
      </w:r>
    </w:p>
    <w:p w:rsidR="00F326C2" w:rsidRDefault="00F326C2" w:rsidP="005B594A">
      <w:pPr>
        <w:jc w:val="center"/>
        <w:rPr>
          <w:rFonts w:ascii="Times New Roman" w:hAnsi="Times New Roman" w:cs="Times New Roman"/>
          <w:b/>
          <w:sz w:val="32"/>
          <w:szCs w:val="32"/>
        </w:rPr>
      </w:pPr>
    </w:p>
    <w:p w:rsidR="00F326C2" w:rsidRDefault="00F326C2" w:rsidP="005B594A">
      <w:pPr>
        <w:jc w:val="center"/>
        <w:rPr>
          <w:rFonts w:ascii="Times New Roman" w:hAnsi="Times New Roman" w:cs="Times New Roman"/>
          <w:b/>
          <w:sz w:val="32"/>
          <w:szCs w:val="32"/>
        </w:rPr>
      </w:pPr>
    </w:p>
    <w:p w:rsidR="00F326C2" w:rsidRDefault="006663D5" w:rsidP="005B594A">
      <w:pPr>
        <w:jc w:val="center"/>
        <w:rPr>
          <w:rFonts w:ascii="Times New Roman" w:hAnsi="Times New Roman" w:cs="Times New Roman"/>
          <w:b/>
          <w:sz w:val="32"/>
          <w:szCs w:val="32"/>
        </w:rPr>
      </w:pPr>
      <w:r>
        <w:rPr>
          <w:rFonts w:ascii="Times New Roman" w:hAnsi="Times New Roman" w:cs="Times New Roman"/>
          <w:b/>
          <w:noProof/>
          <w:sz w:val="32"/>
          <w:szCs w:val="32"/>
          <w:lang w:eastAsia="fr-FR"/>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ge">
                  <wp:posOffset>3437890</wp:posOffset>
                </wp:positionV>
                <wp:extent cx="6177915" cy="890270"/>
                <wp:effectExtent l="0" t="0" r="0" b="5080"/>
                <wp:wrapThrough wrapText="bothSides">
                  <wp:wrapPolygon edited="0">
                    <wp:start x="0" y="0"/>
                    <wp:lineTo x="0" y="21261"/>
                    <wp:lineTo x="21513" y="21261"/>
                    <wp:lineTo x="21513" y="0"/>
                    <wp:lineTo x="0" y="0"/>
                  </wp:wrapPolygon>
                </wp:wrapThrough>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890270"/>
                        </a:xfrm>
                        <a:prstGeom prst="rect">
                          <a:avLst/>
                        </a:prstGeom>
                        <a:gradFill flip="none" rotWithShape="1">
                          <a:gsLst>
                            <a:gs pos="0">
                              <a:srgbClr val="AD0000">
                                <a:alpha val="22000"/>
                              </a:srgbClr>
                            </a:gs>
                            <a:gs pos="71000">
                              <a:sysClr val="window" lastClr="FFFFFF">
                                <a:lumMod val="95000"/>
                                <a:alpha val="66000"/>
                              </a:sysClr>
                            </a:gs>
                          </a:gsLst>
                          <a:lin ang="0" scaled="1"/>
                          <a:tileRect/>
                        </a:gradFill>
                        <a:ln>
                          <a:noFill/>
                        </a:ln>
                        <a:effectLst/>
                        <a:extLst/>
                      </wps:spPr>
                      <wps:txbx>
                        <w:txbxContent>
                          <w:p w:rsidR="008905FF" w:rsidRDefault="008905FF" w:rsidP="006663D5">
                            <w:pPr>
                              <w:spacing w:line="240" w:lineRule="exact"/>
                              <w:contextualSpacing/>
                              <w:jc w:val="center"/>
                              <w:rPr>
                                <w:b/>
                                <w:sz w:val="24"/>
                              </w:rPr>
                            </w:pPr>
                            <w:r w:rsidRPr="00AD6B07">
                              <w:rPr>
                                <w:b/>
                                <w:sz w:val="24"/>
                              </w:rPr>
                              <w:t>MINISTERE DE L’AGRICULTURE ET DE L’EQUIPEMENT RURAL</w:t>
                            </w:r>
                          </w:p>
                          <w:p w:rsidR="008905FF" w:rsidRPr="00AD6B07" w:rsidRDefault="008905FF" w:rsidP="006663D5">
                            <w:pPr>
                              <w:spacing w:line="240" w:lineRule="exact"/>
                              <w:contextualSpacing/>
                              <w:jc w:val="center"/>
                              <w:rPr>
                                <w:b/>
                                <w:sz w:val="24"/>
                              </w:rPr>
                            </w:pPr>
                            <w:r>
                              <w:rPr>
                                <w:b/>
                                <w:sz w:val="24"/>
                              </w:rPr>
                              <w:t>-----------------</w:t>
                            </w:r>
                          </w:p>
                          <w:p w:rsidR="008905FF" w:rsidRPr="00AD6B07" w:rsidRDefault="008905FF" w:rsidP="006663D5">
                            <w:pPr>
                              <w:spacing w:line="240" w:lineRule="exact"/>
                              <w:contextualSpacing/>
                              <w:jc w:val="center"/>
                              <w:rPr>
                                <w:b/>
                                <w:sz w:val="24"/>
                              </w:rPr>
                            </w:pPr>
                            <w:r w:rsidRPr="00AD6B07">
                              <w:rPr>
                                <w:b/>
                                <w:sz w:val="24"/>
                              </w:rPr>
                              <w:t>FEED THE FUTURE SENEGAL</w:t>
                            </w:r>
                          </w:p>
                          <w:p w:rsidR="008905FF" w:rsidRPr="00AD6B07" w:rsidRDefault="008905FF" w:rsidP="006663D5">
                            <w:pPr>
                              <w:spacing w:line="240" w:lineRule="exact"/>
                              <w:contextualSpacing/>
                              <w:jc w:val="center"/>
                              <w:rPr>
                                <w:b/>
                                <w:sz w:val="24"/>
                              </w:rPr>
                            </w:pPr>
                            <w:r w:rsidRPr="00AD6B07">
                              <w:rPr>
                                <w:b/>
                                <w:sz w:val="24"/>
                              </w:rPr>
                              <w:t>PROJET D’APPUI AUX POLITIQUES AGRICOLES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Zone de texte 9" o:spid="_x0000_s1026" type="#_x0000_t202" style="position:absolute;left:0;text-align:left;margin-left:0;margin-top:270.7pt;width:486.45pt;height:70.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" fillcolor="#ad0000" stroked="f">
                <v:fill opacity="43253f" color2="#f2f2f2" o:opacity2="14417f" rotate="t" angle="90" colors="0 #ad0000;46531f #f2f2f2" focus="100%" type="gradient"/>
                <v:path arrowok="t"/>
                <v:textbox>
                  <w:txbxContent>
                    <w:p w:rsidR="008905FF" w:rsidRDefault="008905FF" w:rsidP="006663D5">
                      <w:pPr>
                        <w:spacing w:line="240" w:lineRule="exact"/>
                        <w:contextualSpacing/>
                        <w:jc w:val="center"/>
                        <w:rPr>
                          <w:b/>
                          <w:sz w:val="24"/>
                        </w:rPr>
                      </w:pPr>
                      <w:r w:rsidRPr="00AD6B07">
                        <w:rPr>
                          <w:b/>
                          <w:sz w:val="24"/>
                        </w:rPr>
                        <w:t>MINISTERE DE L’AGRICULTURE ET DE L’EQUIPEMENT RURAL</w:t>
                      </w:r>
                    </w:p>
                    <w:p w:rsidR="008905FF" w:rsidRPr="00AD6B07" w:rsidRDefault="008905FF" w:rsidP="006663D5">
                      <w:pPr>
                        <w:spacing w:line="240" w:lineRule="exact"/>
                        <w:contextualSpacing/>
                        <w:jc w:val="center"/>
                        <w:rPr>
                          <w:b/>
                          <w:sz w:val="24"/>
                        </w:rPr>
                      </w:pPr>
                      <w:r>
                        <w:rPr>
                          <w:b/>
                          <w:sz w:val="24"/>
                        </w:rPr>
                        <w:t>-----------------</w:t>
                      </w:r>
                    </w:p>
                    <w:p w:rsidR="008905FF" w:rsidRPr="00AD6B07" w:rsidRDefault="008905FF" w:rsidP="006663D5">
                      <w:pPr>
                        <w:spacing w:line="240" w:lineRule="exact"/>
                        <w:contextualSpacing/>
                        <w:jc w:val="center"/>
                        <w:rPr>
                          <w:b/>
                          <w:sz w:val="24"/>
                        </w:rPr>
                      </w:pPr>
                      <w:r w:rsidRPr="00AD6B07">
                        <w:rPr>
                          <w:b/>
                          <w:sz w:val="24"/>
                        </w:rPr>
                        <w:t>FEED THE FUTURE SENEGAL</w:t>
                      </w:r>
                    </w:p>
                    <w:p w:rsidR="008905FF" w:rsidRPr="00AD6B07" w:rsidRDefault="008905FF" w:rsidP="006663D5">
                      <w:pPr>
                        <w:spacing w:line="240" w:lineRule="exact"/>
                        <w:contextualSpacing/>
                        <w:jc w:val="center"/>
                        <w:rPr>
                          <w:b/>
                          <w:sz w:val="24"/>
                        </w:rPr>
                      </w:pPr>
                      <w:r w:rsidRPr="00AD6B07">
                        <w:rPr>
                          <w:b/>
                          <w:sz w:val="24"/>
                        </w:rPr>
                        <w:t>PROJET D’APPUI AUX POLITIQUES AGRICOLES</w:t>
                      </w:r>
                    </w:p>
                  </w:txbxContent>
                </v:textbox>
                <w10:wrap type="through" anchorx="margin" anchory="page"/>
              </v:shape>
            </w:pict>
          </mc:Fallback>
        </mc:AlternateContent>
      </w:r>
    </w:p>
    <w:p w:rsidR="00F326C2" w:rsidRDefault="00F326C2" w:rsidP="005B594A">
      <w:pPr>
        <w:jc w:val="center"/>
        <w:rPr>
          <w:rFonts w:ascii="Times New Roman" w:hAnsi="Times New Roman" w:cs="Times New Roman"/>
          <w:b/>
          <w:sz w:val="32"/>
          <w:szCs w:val="32"/>
        </w:rPr>
      </w:pPr>
    </w:p>
    <w:p w:rsidR="00F326C2" w:rsidRDefault="00F326C2" w:rsidP="005B594A">
      <w:pPr>
        <w:jc w:val="center"/>
        <w:rPr>
          <w:rFonts w:ascii="Times New Roman" w:hAnsi="Times New Roman" w:cs="Times New Roman"/>
          <w:b/>
          <w:sz w:val="32"/>
          <w:szCs w:val="32"/>
        </w:rPr>
      </w:pPr>
    </w:p>
    <w:p w:rsidR="006663D5" w:rsidRPr="006663D5" w:rsidRDefault="006663D5" w:rsidP="006663D5">
      <w:pPr>
        <w:shd w:val="clear" w:color="auto" w:fill="9CC2E5"/>
        <w:spacing w:after="0" w:line="240" w:lineRule="auto"/>
        <w:jc w:val="center"/>
        <w:rPr>
          <w:rFonts w:ascii="Times New Roman" w:eastAsia="Calibri" w:hAnsi="Times New Roman" w:cs="Times New Roman"/>
          <w:b/>
          <w:sz w:val="48"/>
          <w:szCs w:val="28"/>
        </w:rPr>
      </w:pPr>
      <w:r w:rsidRPr="006663D5">
        <w:rPr>
          <w:rFonts w:ascii="Times New Roman" w:eastAsia="Calibri" w:hAnsi="Times New Roman" w:cs="Times New Roman"/>
          <w:b/>
          <w:sz w:val="48"/>
          <w:szCs w:val="28"/>
        </w:rPr>
        <w:t>Rapport de recherche</w:t>
      </w:r>
    </w:p>
    <w:p w:rsidR="00F326C2" w:rsidRDefault="00F326C2" w:rsidP="005B594A">
      <w:pPr>
        <w:jc w:val="center"/>
        <w:rPr>
          <w:rFonts w:ascii="Times New Roman" w:hAnsi="Times New Roman" w:cs="Times New Roman"/>
          <w:b/>
          <w:sz w:val="32"/>
          <w:szCs w:val="32"/>
        </w:rPr>
      </w:pPr>
    </w:p>
    <w:p w:rsidR="00F326C2" w:rsidRDefault="00F326C2" w:rsidP="005B594A">
      <w:pPr>
        <w:jc w:val="center"/>
        <w:rPr>
          <w:rFonts w:ascii="Times New Roman" w:hAnsi="Times New Roman" w:cs="Times New Roman"/>
          <w:b/>
          <w:sz w:val="32"/>
          <w:szCs w:val="32"/>
        </w:rPr>
      </w:pPr>
    </w:p>
    <w:p w:rsidR="00F326C2" w:rsidRDefault="00F326C2" w:rsidP="005B594A">
      <w:pPr>
        <w:jc w:val="center"/>
        <w:rPr>
          <w:rFonts w:ascii="Times New Roman" w:hAnsi="Times New Roman" w:cs="Times New Roman"/>
          <w:b/>
          <w:sz w:val="32"/>
          <w:szCs w:val="32"/>
        </w:rPr>
      </w:pPr>
    </w:p>
    <w:p w:rsidR="00F326C2" w:rsidRDefault="006663D5" w:rsidP="005B594A">
      <w:pPr>
        <w:jc w:val="center"/>
        <w:rPr>
          <w:rFonts w:ascii="Times New Roman" w:hAnsi="Times New Roman" w:cs="Times New Roman"/>
          <w:b/>
          <w:sz w:val="32"/>
          <w:szCs w:val="32"/>
        </w:rPr>
      </w:pPr>
      <w:r>
        <w:rPr>
          <w:rFonts w:ascii="Times New Roman" w:hAnsi="Times New Roman" w:cs="Times New Roman"/>
          <w:b/>
          <w:noProof/>
          <w:sz w:val="32"/>
          <w:szCs w:val="32"/>
          <w:lang w:eastAsia="fr-FR"/>
        </w:rPr>
        <mc:AlternateContent>
          <mc:Choice Requires="wps">
            <w:drawing>
              <wp:anchor distT="0" distB="0" distL="114300" distR="114300" simplePos="0" relativeHeight="251659264" behindDoc="0" locked="0" layoutInCell="1" allowOverlap="1">
                <wp:simplePos x="0" y="0"/>
                <wp:positionH relativeFrom="margin">
                  <wp:posOffset>-386080</wp:posOffset>
                </wp:positionH>
                <wp:positionV relativeFrom="page">
                  <wp:posOffset>6885305</wp:posOffset>
                </wp:positionV>
                <wp:extent cx="6679565" cy="662940"/>
                <wp:effectExtent l="0" t="0" r="6985" b="3810"/>
                <wp:wrapThrough wrapText="bothSides">
                  <wp:wrapPolygon edited="0">
                    <wp:start x="0" y="0"/>
                    <wp:lineTo x="0" y="21103"/>
                    <wp:lineTo x="21561" y="21103"/>
                    <wp:lineTo x="21561" y="0"/>
                    <wp:lineTo x="0" y="0"/>
                  </wp:wrapPolygon>
                </wp:wrapThrough>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9565" cy="662940"/>
                        </a:xfrm>
                        <a:prstGeom prst="rect">
                          <a:avLst/>
                        </a:prstGeom>
                        <a:solidFill>
                          <a:srgbClr val="FFC000">
                            <a:lumMod val="40000"/>
                            <a:lumOff val="60000"/>
                            <a:alpha val="49000"/>
                          </a:srgbClr>
                        </a:solidFill>
                        <a:ln>
                          <a:noFill/>
                        </a:ln>
                        <a:effectLst/>
                        <a:extLst/>
                      </wps:spPr>
                      <wps:txbx>
                        <w:txbxContent>
                          <w:p w:rsidR="008905FF" w:rsidRPr="00AD6B07" w:rsidRDefault="008905FF" w:rsidP="006663D5">
                            <w:pPr>
                              <w:spacing w:after="0" w:line="240" w:lineRule="auto"/>
                              <w:jc w:val="center"/>
                              <w:rPr>
                                <w:rFonts w:ascii="Times New Roman" w:hAnsi="Times New Roman"/>
                                <w:b/>
                                <w:sz w:val="40"/>
                                <w:szCs w:val="28"/>
                              </w:rPr>
                            </w:pPr>
                            <w:r>
                              <w:rPr>
                                <w:rFonts w:ascii="Times New Roman" w:hAnsi="Times New Roman"/>
                                <w:b/>
                                <w:sz w:val="40"/>
                                <w:szCs w:val="28"/>
                              </w:rPr>
                              <w:t>La vente au détail des céréales sèches au Sénégal</w:t>
                            </w:r>
                          </w:p>
                          <w:p w:rsidR="008905FF" w:rsidRPr="000E726E" w:rsidRDefault="008905FF" w:rsidP="006663D5">
                            <w:pPr>
                              <w:contextualSpacing/>
                              <w:rPr>
                                <w:color w:val="800000"/>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Zone de texte 13" o:spid="_x0000_s1027" type="#_x0000_t202" style="position:absolute;left:0;text-align:left;margin-left:-30.4pt;margin-top:542.15pt;width:525.95pt;height: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" fillcolor="#ffe699" stroked="f">
                <v:fill opacity="32125f"/>
                <v:path arrowok="t"/>
                <v:textbox>
                  <w:txbxContent>
                    <w:p w:rsidR="008905FF" w:rsidRPr="00AD6B07" w:rsidRDefault="008905FF" w:rsidP="006663D5">
                      <w:pPr>
                        <w:spacing w:after="0" w:line="240" w:lineRule="auto"/>
                        <w:jc w:val="center"/>
                        <w:rPr>
                          <w:rFonts w:ascii="Times New Roman" w:hAnsi="Times New Roman"/>
                          <w:b/>
                          <w:sz w:val="40"/>
                          <w:szCs w:val="28"/>
                        </w:rPr>
                      </w:pPr>
                      <w:r>
                        <w:rPr>
                          <w:rFonts w:ascii="Times New Roman" w:hAnsi="Times New Roman"/>
                          <w:b/>
                          <w:sz w:val="40"/>
                          <w:szCs w:val="28"/>
                        </w:rPr>
                        <w:t>La vente au détail des céréales sèches au Sénégal</w:t>
                      </w:r>
                    </w:p>
                    <w:p w:rsidR="008905FF" w:rsidRPr="000E726E" w:rsidRDefault="008905FF" w:rsidP="006663D5">
                      <w:pPr>
                        <w:contextualSpacing/>
                        <w:rPr>
                          <w:color w:val="800000"/>
                          <w:sz w:val="30"/>
                          <w:szCs w:val="30"/>
                        </w:rPr>
                      </w:pPr>
                    </w:p>
                  </w:txbxContent>
                </v:textbox>
                <w10:wrap type="through" anchorx="margin" anchory="page"/>
              </v:shape>
            </w:pict>
          </mc:Fallback>
        </mc:AlternateContent>
      </w:r>
    </w:p>
    <w:p w:rsidR="00F326C2" w:rsidRDefault="00F326C2" w:rsidP="005B594A">
      <w:pPr>
        <w:jc w:val="center"/>
        <w:rPr>
          <w:rFonts w:ascii="Times New Roman" w:hAnsi="Times New Roman" w:cs="Times New Roman"/>
          <w:b/>
          <w:sz w:val="32"/>
          <w:szCs w:val="32"/>
        </w:rPr>
      </w:pPr>
    </w:p>
    <w:p w:rsidR="00C13249" w:rsidRDefault="00C13249" w:rsidP="005B594A">
      <w:pPr>
        <w:jc w:val="center"/>
        <w:rPr>
          <w:rFonts w:ascii="Times New Roman" w:hAnsi="Times New Roman" w:cs="Times New Roman"/>
          <w:b/>
          <w:sz w:val="32"/>
          <w:szCs w:val="32"/>
        </w:rPr>
      </w:pPr>
    </w:p>
    <w:p w:rsidR="006663D5" w:rsidRDefault="006663D5" w:rsidP="005B594A">
      <w:pPr>
        <w:jc w:val="center"/>
        <w:rPr>
          <w:rFonts w:ascii="Times New Roman" w:hAnsi="Times New Roman" w:cs="Times New Roman"/>
          <w:b/>
          <w:sz w:val="32"/>
          <w:szCs w:val="32"/>
        </w:rPr>
      </w:pPr>
    </w:p>
    <w:p w:rsidR="006663D5" w:rsidRDefault="006663D5" w:rsidP="005B594A">
      <w:pPr>
        <w:jc w:val="center"/>
        <w:rPr>
          <w:rFonts w:ascii="Times New Roman" w:hAnsi="Times New Roman" w:cs="Times New Roman"/>
          <w:b/>
          <w:sz w:val="32"/>
          <w:szCs w:val="32"/>
        </w:rPr>
      </w:pPr>
    </w:p>
    <w:p w:rsidR="006663D5" w:rsidRDefault="00965430" w:rsidP="006663D5">
      <w:pPr>
        <w:jc w:val="right"/>
        <w:rPr>
          <w:rFonts w:ascii="Times New Roman" w:hAnsi="Times New Roman" w:cs="Times New Roman"/>
          <w:b/>
          <w:sz w:val="32"/>
          <w:szCs w:val="32"/>
        </w:rPr>
      </w:pPr>
      <w:r>
        <w:rPr>
          <w:rFonts w:ascii="Times New Roman" w:hAnsi="Times New Roman" w:cs="Times New Roman"/>
          <w:b/>
          <w:sz w:val="32"/>
          <w:szCs w:val="32"/>
        </w:rPr>
        <w:t>Mars 2020</w:t>
      </w:r>
    </w:p>
    <w:p w:rsidR="00C13249" w:rsidRDefault="00C13249">
      <w:pPr>
        <w:rPr>
          <w:rFonts w:ascii="Times New Roman" w:hAnsi="Times New Roman" w:cs="Times New Roman"/>
          <w:b/>
          <w:sz w:val="32"/>
          <w:szCs w:val="32"/>
        </w:rPr>
      </w:pPr>
      <w:r>
        <w:rPr>
          <w:rFonts w:ascii="Times New Roman" w:hAnsi="Times New Roman" w:cs="Times New Roman"/>
          <w:b/>
          <w:sz w:val="32"/>
          <w:szCs w:val="32"/>
        </w:rPr>
        <w:br w:type="page"/>
      </w:r>
    </w:p>
    <w:p w:rsidR="003D62F0" w:rsidRPr="005B594A" w:rsidRDefault="003D62F0" w:rsidP="005B594A">
      <w:pPr>
        <w:jc w:val="center"/>
        <w:rPr>
          <w:rFonts w:ascii="Times New Roman" w:hAnsi="Times New Roman" w:cs="Times New Roman"/>
          <w:b/>
          <w:sz w:val="32"/>
          <w:szCs w:val="32"/>
        </w:rPr>
      </w:pPr>
    </w:p>
    <w:p w:rsidR="005B594A" w:rsidRDefault="005B594A" w:rsidP="0044635E">
      <w:pPr>
        <w:pStyle w:val="Titre1"/>
        <w:numPr>
          <w:ilvl w:val="0"/>
          <w:numId w:val="0"/>
        </w:numPr>
      </w:pPr>
      <w:bookmarkStart w:id="1" w:name="_Toc34303386"/>
      <w:r>
        <w:t>Liste des auteurs</w:t>
      </w:r>
      <w:bookmarkEnd w:id="1"/>
    </w:p>
    <w:p w:rsidR="00EA5BB5" w:rsidRPr="00922DE0" w:rsidRDefault="00EA5BB5" w:rsidP="00EA5BB5">
      <w:pPr>
        <w:rPr>
          <w:rFonts w:ascii="Times New Roman" w:hAnsi="Times New Roman" w:cs="Times New Roman"/>
          <w:i/>
          <w:sz w:val="28"/>
          <w:szCs w:val="28"/>
        </w:rPr>
      </w:pPr>
      <w:proofErr w:type="spellStart"/>
      <w:r w:rsidRPr="00922DE0">
        <w:rPr>
          <w:rFonts w:ascii="Times New Roman" w:hAnsi="Times New Roman" w:cs="Times New Roman"/>
          <w:i/>
          <w:sz w:val="28"/>
          <w:szCs w:val="28"/>
        </w:rPr>
        <w:t>Ndeye</w:t>
      </w:r>
      <w:proofErr w:type="spellEnd"/>
      <w:r w:rsidRPr="00922DE0">
        <w:rPr>
          <w:rFonts w:ascii="Times New Roman" w:hAnsi="Times New Roman" w:cs="Times New Roman"/>
          <w:i/>
          <w:sz w:val="28"/>
          <w:szCs w:val="28"/>
        </w:rPr>
        <w:t xml:space="preserve"> </w:t>
      </w:r>
      <w:proofErr w:type="spellStart"/>
      <w:r w:rsidRPr="00922DE0">
        <w:rPr>
          <w:rFonts w:ascii="Times New Roman" w:hAnsi="Times New Roman" w:cs="Times New Roman"/>
          <w:i/>
          <w:sz w:val="28"/>
          <w:szCs w:val="28"/>
        </w:rPr>
        <w:t>Fatou</w:t>
      </w:r>
      <w:proofErr w:type="spellEnd"/>
      <w:r w:rsidRPr="00922DE0">
        <w:rPr>
          <w:rFonts w:ascii="Times New Roman" w:hAnsi="Times New Roman" w:cs="Times New Roman"/>
          <w:i/>
          <w:sz w:val="28"/>
          <w:szCs w:val="28"/>
        </w:rPr>
        <w:t xml:space="preserve"> Faye, </w:t>
      </w:r>
      <w:proofErr w:type="spellStart"/>
      <w:r w:rsidR="00965430">
        <w:rPr>
          <w:rFonts w:ascii="Times New Roman" w:hAnsi="Times New Roman" w:cs="Times New Roman"/>
          <w:i/>
          <w:sz w:val="28"/>
          <w:szCs w:val="28"/>
        </w:rPr>
        <w:t>Diatou</w:t>
      </w:r>
      <w:proofErr w:type="spellEnd"/>
      <w:r w:rsidR="00965430">
        <w:rPr>
          <w:rFonts w:ascii="Times New Roman" w:hAnsi="Times New Roman" w:cs="Times New Roman"/>
          <w:i/>
          <w:sz w:val="28"/>
          <w:szCs w:val="28"/>
        </w:rPr>
        <w:t xml:space="preserve"> </w:t>
      </w:r>
      <w:proofErr w:type="spellStart"/>
      <w:r w:rsidR="00965430">
        <w:rPr>
          <w:rFonts w:ascii="Times New Roman" w:hAnsi="Times New Roman" w:cs="Times New Roman"/>
          <w:i/>
          <w:sz w:val="28"/>
          <w:szCs w:val="28"/>
        </w:rPr>
        <w:t>Ndiaye</w:t>
      </w:r>
      <w:proofErr w:type="spellEnd"/>
      <w:r w:rsidR="00965430">
        <w:rPr>
          <w:rFonts w:ascii="Times New Roman" w:hAnsi="Times New Roman" w:cs="Times New Roman"/>
          <w:i/>
          <w:sz w:val="28"/>
          <w:szCs w:val="28"/>
        </w:rPr>
        <w:t xml:space="preserve">, </w:t>
      </w:r>
      <w:r w:rsidRPr="00922DE0">
        <w:rPr>
          <w:rFonts w:ascii="Times New Roman" w:hAnsi="Times New Roman" w:cs="Times New Roman"/>
          <w:i/>
          <w:sz w:val="28"/>
          <w:szCs w:val="28"/>
        </w:rPr>
        <w:t xml:space="preserve">Rock Romaric </w:t>
      </w:r>
      <w:proofErr w:type="spellStart"/>
      <w:r w:rsidRPr="00922DE0">
        <w:rPr>
          <w:rFonts w:ascii="Times New Roman" w:hAnsi="Times New Roman" w:cs="Times New Roman"/>
          <w:i/>
          <w:sz w:val="28"/>
          <w:szCs w:val="28"/>
        </w:rPr>
        <w:t>Zagré</w:t>
      </w:r>
      <w:proofErr w:type="spellEnd"/>
      <w:r w:rsidRPr="00922DE0">
        <w:rPr>
          <w:rFonts w:ascii="Times New Roman" w:hAnsi="Times New Roman" w:cs="Times New Roman"/>
          <w:i/>
          <w:sz w:val="28"/>
          <w:szCs w:val="28"/>
        </w:rPr>
        <w:t xml:space="preserve">, Chérif S. A. </w:t>
      </w:r>
      <w:proofErr w:type="spellStart"/>
      <w:r w:rsidRPr="00922DE0">
        <w:rPr>
          <w:rFonts w:ascii="Times New Roman" w:hAnsi="Times New Roman" w:cs="Times New Roman"/>
          <w:i/>
          <w:sz w:val="28"/>
          <w:szCs w:val="28"/>
        </w:rPr>
        <w:t>Mané</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Mouhamed</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Rassoul</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Sy</w:t>
      </w:r>
      <w:proofErr w:type="spellEnd"/>
    </w:p>
    <w:p w:rsidR="00C13249" w:rsidRDefault="005B594A" w:rsidP="0044635E">
      <w:pPr>
        <w:pStyle w:val="Titre1"/>
        <w:numPr>
          <w:ilvl w:val="0"/>
          <w:numId w:val="0"/>
        </w:numPr>
      </w:pPr>
      <w:bookmarkStart w:id="2" w:name="_Toc34303387"/>
      <w:r w:rsidRPr="005B594A">
        <w:t>Remerciements</w:t>
      </w:r>
      <w:bookmarkEnd w:id="2"/>
    </w:p>
    <w:p w:rsidR="00EA5BB5" w:rsidRDefault="00EA5BB5" w:rsidP="00EA5BB5">
      <w:pPr>
        <w:pStyle w:val="RapportPAPA"/>
        <w:rPr>
          <w:lang w:eastAsia="fr-FR"/>
        </w:rPr>
      </w:pPr>
      <w:r>
        <w:rPr>
          <w:lang w:eastAsia="fr-FR"/>
        </w:rPr>
        <w:t xml:space="preserve">Nous adressons nos remerciements aux </w:t>
      </w:r>
      <w:r>
        <w:t>Directeurs Régionaux du</w:t>
      </w:r>
      <w:r w:rsidRPr="0016732B">
        <w:t xml:space="preserve"> </w:t>
      </w:r>
      <w:r>
        <w:t>Développement Rural (DRDR) et aux chefs des S</w:t>
      </w:r>
      <w:r w:rsidRPr="0016732B">
        <w:t>ervices</w:t>
      </w:r>
      <w:r>
        <w:t xml:space="preserve"> Départementaux du Développement Rural (SDDR) qui </w:t>
      </w:r>
      <w:r w:rsidRPr="0016732B">
        <w:t xml:space="preserve">ont été la porte d’entrée </w:t>
      </w:r>
      <w:r>
        <w:t>la plus importante vers les acteurs de la filière</w:t>
      </w:r>
    </w:p>
    <w:p w:rsidR="00EA5BB5" w:rsidRDefault="00EA5BB5" w:rsidP="00EA5BB5">
      <w:pPr>
        <w:pStyle w:val="RapportPAPA"/>
        <w:rPr>
          <w:lang w:eastAsia="fr-FR"/>
        </w:rPr>
      </w:pPr>
      <w:r w:rsidRPr="00535A75">
        <w:rPr>
          <w:lang w:eastAsia="fr-FR"/>
        </w:rPr>
        <w:t>Pour avoir permis et facilité la collecte des do</w:t>
      </w:r>
      <w:r>
        <w:rPr>
          <w:lang w:eastAsia="fr-FR"/>
        </w:rPr>
        <w:t>nnées, nos remerciements vont aux</w:t>
      </w:r>
      <w:r w:rsidRPr="00535A75">
        <w:rPr>
          <w:lang w:eastAsia="fr-FR"/>
        </w:rPr>
        <w:t xml:space="preserve"> commerçants détaillants et grossistes </w:t>
      </w:r>
      <w:r>
        <w:rPr>
          <w:lang w:eastAsia="fr-FR"/>
        </w:rPr>
        <w:t xml:space="preserve">de céréales. </w:t>
      </w:r>
    </w:p>
    <w:p w:rsidR="00EA5BB5" w:rsidRDefault="00EA5BB5" w:rsidP="00EA5BB5">
      <w:pPr>
        <w:pStyle w:val="RapportPAPA"/>
        <w:rPr>
          <w:lang w:eastAsia="fr-FR"/>
        </w:rPr>
      </w:pPr>
      <w:r>
        <w:rPr>
          <w:lang w:eastAsia="fr-FR"/>
        </w:rPr>
        <w:t>Nous remercions également toutes les personnes et institutions ayant facilité l’accès aux acteurs. Il s’agit du PADAER, du PAFA, des Chambres Régionales de Commerce et des Métiers. Nous réservons une mention spéciale aux délégués de marchés pour leur disponibilité.</w:t>
      </w:r>
    </w:p>
    <w:p w:rsidR="00EA5BB5" w:rsidRPr="00483580" w:rsidRDefault="00EA5BB5" w:rsidP="00EA5BB5">
      <w:pPr>
        <w:pStyle w:val="RapportPAPA"/>
      </w:pPr>
      <w:r>
        <w:rPr>
          <w:lang w:eastAsia="fr-FR"/>
        </w:rPr>
        <w:t>Nous adressons des remerciements particuliers aux enquêteurs pour la qualité des données collectées. Sans ces derniers, cette étude n’aurait pu être effective. Nous remercierons également toute l’équipe de l’ISRA/BAME pour son appui sans faille.</w:t>
      </w:r>
    </w:p>
    <w:p w:rsidR="00EA5BB5" w:rsidRPr="00EA5BB5" w:rsidRDefault="00EA5BB5" w:rsidP="00EA5BB5"/>
    <w:p w:rsidR="00C13249" w:rsidRDefault="00C13249">
      <w:pPr>
        <w:rPr>
          <w:rFonts w:ascii="Times New Roman" w:eastAsiaTheme="majorEastAsia" w:hAnsi="Times New Roman" w:cstheme="majorBidi"/>
          <w:color w:val="44546A" w:themeColor="text2"/>
          <w:sz w:val="32"/>
          <w:szCs w:val="32"/>
        </w:rPr>
      </w:pPr>
      <w:r>
        <w:br w:type="page"/>
      </w:r>
    </w:p>
    <w:p w:rsidR="00C13249" w:rsidRDefault="005B594A" w:rsidP="0044635E">
      <w:pPr>
        <w:pStyle w:val="Titre1"/>
        <w:numPr>
          <w:ilvl w:val="0"/>
          <w:numId w:val="0"/>
        </w:numPr>
      </w:pPr>
      <w:bookmarkStart w:id="3" w:name="_Toc34303388"/>
      <w:r w:rsidRPr="005B594A">
        <w:lastRenderedPageBreak/>
        <w:t>Liste des tableaux</w:t>
      </w:r>
      <w:bookmarkEnd w:id="3"/>
    </w:p>
    <w:p w:rsidR="00363AA8" w:rsidRPr="00363AA8" w:rsidRDefault="00521AA4">
      <w:pPr>
        <w:pStyle w:val="Tabledesillustrations"/>
        <w:tabs>
          <w:tab w:val="right" w:leader="dot" w:pos="9062"/>
        </w:tabs>
        <w:rPr>
          <w:rFonts w:ascii="Times New Roman" w:eastAsiaTheme="minorEastAsia" w:hAnsi="Times New Roman" w:cs="Times New Roman"/>
          <w:noProof/>
          <w:sz w:val="24"/>
          <w:szCs w:val="24"/>
          <w:lang w:eastAsia="fr-FR"/>
        </w:rPr>
      </w:pPr>
      <w:r w:rsidRPr="00521AA4">
        <w:rPr>
          <w:rFonts w:ascii="Times New Roman" w:hAnsi="Times New Roman" w:cs="Times New Roman"/>
          <w:sz w:val="24"/>
          <w:szCs w:val="24"/>
        </w:rPr>
        <w:fldChar w:fldCharType="begin"/>
      </w:r>
      <w:r w:rsidRPr="00521AA4">
        <w:rPr>
          <w:rFonts w:ascii="Times New Roman" w:hAnsi="Times New Roman" w:cs="Times New Roman"/>
          <w:sz w:val="24"/>
          <w:szCs w:val="24"/>
        </w:rPr>
        <w:instrText xml:space="preserve"> TOC \h \z \c "Tableau" </w:instrText>
      </w:r>
      <w:r w:rsidRPr="00521AA4">
        <w:rPr>
          <w:rFonts w:ascii="Times New Roman" w:hAnsi="Times New Roman" w:cs="Times New Roman"/>
          <w:sz w:val="24"/>
          <w:szCs w:val="24"/>
        </w:rPr>
        <w:fldChar w:fldCharType="separate"/>
      </w:r>
      <w:hyperlink w:anchor="_Toc34303298" w:history="1">
        <w:r w:rsidR="00363AA8" w:rsidRPr="00363AA8">
          <w:rPr>
            <w:rStyle w:val="Lienhypertexte"/>
            <w:rFonts w:ascii="Times New Roman" w:hAnsi="Times New Roman" w:cs="Times New Roman"/>
            <w:b/>
            <w:noProof/>
            <w:sz w:val="24"/>
            <w:szCs w:val="24"/>
          </w:rPr>
          <w:t>Tableau 1</w:t>
        </w:r>
        <w:r w:rsidR="00363AA8" w:rsidRPr="00363AA8">
          <w:rPr>
            <w:rStyle w:val="Lienhypertexte"/>
            <w:rFonts w:ascii="Times New Roman" w:hAnsi="Times New Roman" w:cs="Times New Roman"/>
            <w:noProof/>
            <w:sz w:val="24"/>
            <w:szCs w:val="24"/>
          </w:rPr>
          <w:t> : Quelques éléments de l’échantillon des commerçants de céréales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_Toc34303298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6</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299" w:history="1">
        <w:r w:rsidR="00363AA8" w:rsidRPr="00363AA8">
          <w:rPr>
            <w:rStyle w:val="Lienhypertexte"/>
            <w:rFonts w:ascii="Times New Roman" w:hAnsi="Times New Roman" w:cs="Times New Roman"/>
            <w:b/>
            <w:noProof/>
            <w:sz w:val="24"/>
            <w:szCs w:val="24"/>
          </w:rPr>
          <w:t>Tableau 2</w:t>
        </w:r>
        <w:r w:rsidR="00363AA8" w:rsidRPr="00363AA8">
          <w:rPr>
            <w:rStyle w:val="Lienhypertexte"/>
            <w:rFonts w:ascii="Times New Roman" w:hAnsi="Times New Roman" w:cs="Times New Roman"/>
            <w:noProof/>
            <w:sz w:val="24"/>
            <w:szCs w:val="24"/>
          </w:rPr>
          <w:t> : Quelques caractéristique des détaillants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_Toc34303299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6</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00" w:history="1">
        <w:r w:rsidR="00363AA8" w:rsidRPr="00363AA8">
          <w:rPr>
            <w:rStyle w:val="Lienhypertexte"/>
            <w:rFonts w:ascii="Times New Roman" w:hAnsi="Times New Roman" w:cs="Times New Roman"/>
            <w:b/>
            <w:noProof/>
            <w:sz w:val="24"/>
            <w:szCs w:val="24"/>
          </w:rPr>
          <w:t>Tableau 3</w:t>
        </w:r>
        <w:r w:rsidR="00363AA8" w:rsidRPr="00363AA8">
          <w:rPr>
            <w:rStyle w:val="Lienhypertexte"/>
            <w:rFonts w:ascii="Times New Roman" w:hAnsi="Times New Roman" w:cs="Times New Roman"/>
            <w:noProof/>
            <w:sz w:val="24"/>
            <w:szCs w:val="24"/>
          </w:rPr>
          <w:t>: Niveau d'éducation des chefs d'entreprise</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_Toc34303300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6</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01" w:history="1">
        <w:r w:rsidR="00363AA8" w:rsidRPr="00363AA8">
          <w:rPr>
            <w:rStyle w:val="Lienhypertexte"/>
            <w:rFonts w:ascii="Times New Roman" w:hAnsi="Times New Roman" w:cs="Times New Roman"/>
            <w:b/>
            <w:noProof/>
            <w:sz w:val="24"/>
            <w:szCs w:val="24"/>
          </w:rPr>
          <w:t>Tableau 4:</w:t>
        </w:r>
        <w:r w:rsidR="00363AA8" w:rsidRPr="00363AA8">
          <w:rPr>
            <w:rStyle w:val="Lienhypertexte"/>
            <w:rFonts w:ascii="Times New Roman" w:hAnsi="Times New Roman" w:cs="Times New Roman"/>
            <w:noProof/>
            <w:sz w:val="24"/>
            <w:szCs w:val="24"/>
          </w:rPr>
          <w:t xml:space="preserve"> Caractéristiques générales de l'entreprise de commercialisation</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_Toc34303301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7</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02" w:history="1">
        <w:r w:rsidR="00363AA8" w:rsidRPr="00363AA8">
          <w:rPr>
            <w:rStyle w:val="Lienhypertexte"/>
            <w:rFonts w:ascii="Times New Roman" w:hAnsi="Times New Roman" w:cs="Times New Roman"/>
            <w:b/>
            <w:noProof/>
            <w:sz w:val="24"/>
            <w:szCs w:val="24"/>
          </w:rPr>
          <w:t>Tableau 5</w:t>
        </w:r>
        <w:r w:rsidR="00363AA8" w:rsidRPr="00363AA8">
          <w:rPr>
            <w:rStyle w:val="Lienhypertexte"/>
            <w:rFonts w:ascii="Times New Roman" w:eastAsia="Calibri" w:hAnsi="Times New Roman" w:cs="Times New Roman"/>
            <w:b/>
            <w:noProof/>
            <w:sz w:val="24"/>
            <w:szCs w:val="24"/>
          </w:rPr>
          <w:t>:</w:t>
        </w:r>
        <w:r w:rsidR="00363AA8" w:rsidRPr="00363AA8">
          <w:rPr>
            <w:rStyle w:val="Lienhypertexte"/>
            <w:rFonts w:ascii="Times New Roman" w:eastAsia="Calibri" w:hAnsi="Times New Roman" w:cs="Times New Roman"/>
            <w:noProof/>
            <w:sz w:val="24"/>
            <w:szCs w:val="24"/>
          </w:rPr>
          <w:t xml:space="preserve"> Clientèle et lieux de vente des grossistes de céréales sèches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_Toc34303302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10</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03" w:history="1">
        <w:r w:rsidR="00363AA8" w:rsidRPr="00363AA8">
          <w:rPr>
            <w:rStyle w:val="Lienhypertexte"/>
            <w:rFonts w:ascii="Times New Roman" w:hAnsi="Times New Roman" w:cs="Times New Roman"/>
            <w:b/>
            <w:noProof/>
            <w:sz w:val="24"/>
            <w:szCs w:val="24"/>
          </w:rPr>
          <w:t>Tableau 6</w:t>
        </w:r>
        <w:r w:rsidR="00363AA8" w:rsidRPr="00363AA8">
          <w:rPr>
            <w:rStyle w:val="Lienhypertexte"/>
            <w:rFonts w:ascii="Times New Roman" w:hAnsi="Times New Roman" w:cs="Times New Roman"/>
            <w:noProof/>
            <w:sz w:val="24"/>
            <w:szCs w:val="24"/>
          </w:rPr>
          <w:t>: Montants moyens investis au démarrage des activités (milliers de FCFA)</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_Toc34303303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11</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04" w:history="1">
        <w:r w:rsidR="00363AA8" w:rsidRPr="00363AA8">
          <w:rPr>
            <w:rStyle w:val="Lienhypertexte"/>
            <w:rFonts w:ascii="Times New Roman" w:hAnsi="Times New Roman" w:cs="Times New Roman"/>
            <w:b/>
            <w:noProof/>
            <w:sz w:val="24"/>
            <w:szCs w:val="24"/>
          </w:rPr>
          <w:t>Tableau 7</w:t>
        </w:r>
        <w:r w:rsidR="00363AA8" w:rsidRPr="00363AA8">
          <w:rPr>
            <w:rStyle w:val="Lienhypertexte"/>
            <w:rFonts w:ascii="Times New Roman" w:hAnsi="Times New Roman" w:cs="Times New Roman"/>
            <w:noProof/>
            <w:sz w:val="24"/>
            <w:szCs w:val="24"/>
          </w:rPr>
          <w:t>: Lieux d'approvisionnement en intrants des détaillants durant le mois précédent l’enquête</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_Toc34303304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13</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05" w:history="1">
        <w:r w:rsidR="00363AA8" w:rsidRPr="00363AA8">
          <w:rPr>
            <w:rStyle w:val="Lienhypertexte"/>
            <w:rFonts w:ascii="Times New Roman" w:hAnsi="Times New Roman" w:cs="Times New Roman"/>
            <w:b/>
            <w:noProof/>
            <w:sz w:val="24"/>
            <w:szCs w:val="24"/>
          </w:rPr>
          <w:t xml:space="preserve">Tableau 8: </w:t>
        </w:r>
        <w:r w:rsidR="00363AA8" w:rsidRPr="00363AA8">
          <w:rPr>
            <w:rStyle w:val="Lienhypertexte"/>
            <w:rFonts w:ascii="Times New Roman" w:hAnsi="Times New Roman" w:cs="Times New Roman"/>
            <w:noProof/>
            <w:sz w:val="24"/>
            <w:szCs w:val="24"/>
          </w:rPr>
          <w:t>Contraintes d'accès aux marchandises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_Toc34303305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14</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06" w:history="1">
        <w:r w:rsidR="00363AA8" w:rsidRPr="00363AA8">
          <w:rPr>
            <w:rStyle w:val="Lienhypertexte"/>
            <w:rFonts w:ascii="Times New Roman" w:hAnsi="Times New Roman" w:cs="Times New Roman"/>
            <w:b/>
            <w:noProof/>
            <w:sz w:val="24"/>
            <w:szCs w:val="24"/>
          </w:rPr>
          <w:t xml:space="preserve">Tableau 9: </w:t>
        </w:r>
        <w:r w:rsidR="00363AA8" w:rsidRPr="00363AA8">
          <w:rPr>
            <w:rStyle w:val="Lienhypertexte"/>
            <w:rFonts w:ascii="Times New Roman" w:hAnsi="Times New Roman" w:cs="Times New Roman"/>
            <w:noProof/>
            <w:sz w:val="24"/>
            <w:szCs w:val="24"/>
          </w:rPr>
          <w:t>Principaux Critères de choix des produits vendus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_Toc34303306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15</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07" w:history="1">
        <w:r w:rsidR="00363AA8" w:rsidRPr="00363AA8">
          <w:rPr>
            <w:rStyle w:val="Lienhypertexte"/>
            <w:rFonts w:ascii="Times New Roman" w:hAnsi="Times New Roman" w:cs="Times New Roman"/>
            <w:b/>
            <w:noProof/>
            <w:sz w:val="24"/>
            <w:szCs w:val="24"/>
          </w:rPr>
          <w:t>Tableau 10</w:t>
        </w:r>
        <w:r w:rsidR="00363AA8" w:rsidRPr="00363AA8">
          <w:rPr>
            <w:rStyle w:val="Lienhypertexte"/>
            <w:rFonts w:ascii="Times New Roman" w:hAnsi="Times New Roman" w:cs="Times New Roman"/>
            <w:noProof/>
            <w:sz w:val="24"/>
            <w:szCs w:val="24"/>
          </w:rPr>
          <w:t>: Activités de production agricole des détaillants de céréales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_Toc34303307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16</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08" w:history="1">
        <w:r w:rsidR="00363AA8" w:rsidRPr="00363AA8">
          <w:rPr>
            <w:rStyle w:val="Lienhypertexte"/>
            <w:rFonts w:ascii="Times New Roman" w:hAnsi="Times New Roman" w:cs="Times New Roman"/>
            <w:b/>
            <w:noProof/>
            <w:sz w:val="24"/>
            <w:szCs w:val="24"/>
          </w:rPr>
          <w:t>Tableau 11</w:t>
        </w:r>
        <w:r w:rsidR="00363AA8" w:rsidRPr="00363AA8">
          <w:rPr>
            <w:rStyle w:val="Lienhypertexte"/>
            <w:rFonts w:ascii="Times New Roman" w:hAnsi="Times New Roman" w:cs="Times New Roman"/>
            <w:noProof/>
            <w:sz w:val="24"/>
            <w:szCs w:val="24"/>
          </w:rPr>
          <w:t>: La contractualisation chez les détaillants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_Toc34303308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17</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09" w:history="1">
        <w:r w:rsidR="00363AA8" w:rsidRPr="00363AA8">
          <w:rPr>
            <w:rStyle w:val="Lienhypertexte"/>
            <w:rFonts w:ascii="Times New Roman" w:hAnsi="Times New Roman" w:cs="Times New Roman"/>
            <w:b/>
            <w:noProof/>
            <w:sz w:val="24"/>
            <w:szCs w:val="24"/>
          </w:rPr>
          <w:t>Tableau 12</w:t>
        </w:r>
        <w:r w:rsidR="00363AA8" w:rsidRPr="00363AA8">
          <w:rPr>
            <w:rStyle w:val="Lienhypertexte"/>
            <w:rFonts w:ascii="Times New Roman" w:hAnsi="Times New Roman" w:cs="Times New Roman"/>
            <w:noProof/>
            <w:sz w:val="24"/>
            <w:szCs w:val="24"/>
          </w:rPr>
          <w:t>: Appartenance à des organisations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_Toc34303309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18</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10" w:history="1">
        <w:r w:rsidR="00363AA8" w:rsidRPr="00363AA8">
          <w:rPr>
            <w:rStyle w:val="Lienhypertexte"/>
            <w:rFonts w:ascii="Times New Roman" w:hAnsi="Times New Roman" w:cs="Times New Roman"/>
            <w:b/>
            <w:noProof/>
            <w:sz w:val="24"/>
            <w:szCs w:val="24"/>
          </w:rPr>
          <w:t>Tableau 13</w:t>
        </w:r>
        <w:r w:rsidR="00363AA8" w:rsidRPr="00363AA8">
          <w:rPr>
            <w:rStyle w:val="Lienhypertexte"/>
            <w:rFonts w:ascii="Times New Roman" w:hAnsi="Times New Roman" w:cs="Times New Roman"/>
            <w:noProof/>
            <w:sz w:val="24"/>
            <w:szCs w:val="24"/>
          </w:rPr>
          <w:t>: La formation chez les détaillants de céréales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_Toc34303310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19</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11" w:history="1">
        <w:r w:rsidR="00363AA8" w:rsidRPr="00363AA8">
          <w:rPr>
            <w:rStyle w:val="Lienhypertexte"/>
            <w:rFonts w:ascii="Times New Roman" w:hAnsi="Times New Roman" w:cs="Times New Roman"/>
            <w:b/>
            <w:noProof/>
            <w:sz w:val="24"/>
            <w:szCs w:val="24"/>
          </w:rPr>
          <w:t>Tableau 14:</w:t>
        </w:r>
        <w:r w:rsidR="00363AA8" w:rsidRPr="00363AA8">
          <w:rPr>
            <w:rStyle w:val="Lienhypertexte"/>
            <w:rFonts w:ascii="Times New Roman" w:hAnsi="Times New Roman" w:cs="Times New Roman"/>
            <w:noProof/>
            <w:sz w:val="24"/>
            <w:szCs w:val="24"/>
          </w:rPr>
          <w:t xml:space="preserve"> Accès des détaillants aux infrastructures routières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_Toc34303311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19</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12" w:history="1">
        <w:r w:rsidR="00363AA8" w:rsidRPr="00363AA8">
          <w:rPr>
            <w:rStyle w:val="Lienhypertexte"/>
            <w:rFonts w:ascii="Times New Roman" w:hAnsi="Times New Roman" w:cs="Times New Roman"/>
            <w:b/>
            <w:noProof/>
            <w:sz w:val="24"/>
            <w:szCs w:val="24"/>
          </w:rPr>
          <w:t>Tableau 15</w:t>
        </w:r>
        <w:r w:rsidR="00363AA8" w:rsidRPr="00363AA8">
          <w:rPr>
            <w:rStyle w:val="Lienhypertexte"/>
            <w:rFonts w:ascii="Times New Roman" w:hAnsi="Times New Roman" w:cs="Times New Roman"/>
            <w:noProof/>
            <w:sz w:val="24"/>
            <w:szCs w:val="24"/>
          </w:rPr>
          <w:t>: Emploi de main-d’œuvre par les détaillants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_Toc34303312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20</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13" w:history="1">
        <w:r w:rsidR="00363AA8" w:rsidRPr="00363AA8">
          <w:rPr>
            <w:rStyle w:val="Lienhypertexte"/>
            <w:rFonts w:ascii="Times New Roman" w:hAnsi="Times New Roman" w:cs="Times New Roman"/>
            <w:b/>
            <w:noProof/>
            <w:sz w:val="24"/>
            <w:szCs w:val="24"/>
          </w:rPr>
          <w:t>Tableau 16</w:t>
        </w:r>
        <w:r w:rsidR="00363AA8" w:rsidRPr="00363AA8">
          <w:rPr>
            <w:rStyle w:val="Lienhypertexte"/>
            <w:rFonts w:ascii="Times New Roman" w:hAnsi="Times New Roman" w:cs="Times New Roman"/>
            <w:noProof/>
            <w:sz w:val="24"/>
            <w:szCs w:val="24"/>
          </w:rPr>
          <w:t>: Composition des employés permanents pour 100 détaillants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_Toc34303313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21</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14" w:history="1">
        <w:r w:rsidR="00363AA8" w:rsidRPr="00363AA8">
          <w:rPr>
            <w:rStyle w:val="Lienhypertexte"/>
            <w:rFonts w:ascii="Times New Roman" w:hAnsi="Times New Roman" w:cs="Times New Roman"/>
            <w:b/>
            <w:noProof/>
            <w:sz w:val="24"/>
            <w:szCs w:val="24"/>
          </w:rPr>
          <w:t>Tableau 17:</w:t>
        </w:r>
        <w:r w:rsidR="00363AA8" w:rsidRPr="00363AA8">
          <w:rPr>
            <w:rStyle w:val="Lienhypertexte"/>
            <w:rFonts w:ascii="Times New Roman" w:hAnsi="Times New Roman" w:cs="Times New Roman"/>
            <w:noProof/>
            <w:sz w:val="24"/>
            <w:szCs w:val="24"/>
          </w:rPr>
          <w:t>: Dépenses mensuelles totales moyennes pour la main-d’œuvre, par type</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_Toc34303314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21</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15" w:history="1">
        <w:r w:rsidR="00363AA8" w:rsidRPr="00363AA8">
          <w:rPr>
            <w:rStyle w:val="Lienhypertexte"/>
            <w:rFonts w:ascii="Times New Roman" w:hAnsi="Times New Roman" w:cs="Times New Roman"/>
            <w:b/>
            <w:noProof/>
            <w:sz w:val="24"/>
            <w:szCs w:val="24"/>
          </w:rPr>
          <w:t>Tableau 18</w:t>
        </w:r>
        <w:r w:rsidR="00363AA8" w:rsidRPr="00363AA8">
          <w:rPr>
            <w:rStyle w:val="Lienhypertexte"/>
            <w:rFonts w:ascii="Times New Roman" w:hAnsi="Times New Roman" w:cs="Times New Roman"/>
            <w:noProof/>
            <w:sz w:val="24"/>
            <w:szCs w:val="24"/>
          </w:rPr>
          <w:t>: Montants mensuels moyens des coûts variables, hors main-d’œuvre</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_Toc34303315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22</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16" w:history="1">
        <w:r w:rsidR="00363AA8" w:rsidRPr="00363AA8">
          <w:rPr>
            <w:rStyle w:val="Lienhypertexte"/>
            <w:rFonts w:ascii="Times New Roman" w:hAnsi="Times New Roman" w:cs="Times New Roman"/>
            <w:b/>
            <w:noProof/>
            <w:sz w:val="24"/>
            <w:szCs w:val="24"/>
          </w:rPr>
          <w:t>Tableau 19</w:t>
        </w:r>
        <w:r w:rsidR="00363AA8" w:rsidRPr="00363AA8">
          <w:rPr>
            <w:rStyle w:val="Lienhypertexte"/>
            <w:rFonts w:ascii="Times New Roman" w:eastAsia="Calibri" w:hAnsi="Times New Roman" w:cs="Times New Roman"/>
            <w:noProof/>
            <w:sz w:val="24"/>
            <w:szCs w:val="24"/>
          </w:rPr>
          <w:t>: Structure des principales charges des détaillants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_Toc34303316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23</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17" w:history="1">
        <w:r w:rsidR="00363AA8" w:rsidRPr="00363AA8">
          <w:rPr>
            <w:rStyle w:val="Lienhypertexte"/>
            <w:rFonts w:ascii="Times New Roman" w:hAnsi="Times New Roman" w:cs="Times New Roman"/>
            <w:b/>
            <w:noProof/>
            <w:sz w:val="24"/>
            <w:szCs w:val="24"/>
          </w:rPr>
          <w:t>Tableau 20</w:t>
        </w:r>
        <w:r w:rsidR="00363AA8" w:rsidRPr="00363AA8">
          <w:rPr>
            <w:rStyle w:val="Lienhypertexte"/>
            <w:rFonts w:ascii="Times New Roman" w:hAnsi="Times New Roman" w:cs="Times New Roman"/>
            <w:noProof/>
            <w:sz w:val="24"/>
            <w:szCs w:val="24"/>
          </w:rPr>
          <w:t>: Prix moyens de vente des céréales par les détaillants (FCFA/kg)</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_Toc34303317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24</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18" w:history="1">
        <w:r w:rsidR="00363AA8" w:rsidRPr="00363AA8">
          <w:rPr>
            <w:rStyle w:val="Lienhypertexte"/>
            <w:rFonts w:ascii="Times New Roman" w:hAnsi="Times New Roman" w:cs="Times New Roman"/>
            <w:b/>
            <w:noProof/>
            <w:sz w:val="24"/>
            <w:szCs w:val="24"/>
          </w:rPr>
          <w:t>Tableau 21</w:t>
        </w:r>
        <w:r w:rsidR="00363AA8" w:rsidRPr="00363AA8">
          <w:rPr>
            <w:rStyle w:val="Lienhypertexte"/>
            <w:rFonts w:ascii="Times New Roman" w:hAnsi="Times New Roman" w:cs="Times New Roman"/>
            <w:noProof/>
            <w:sz w:val="24"/>
            <w:szCs w:val="24"/>
          </w:rPr>
          <w:t>: Niveau de concurrence entre détaillants de céréales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_Toc34303318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24</w:t>
        </w:r>
        <w:r w:rsidR="00363AA8" w:rsidRPr="00363AA8">
          <w:rPr>
            <w:rFonts w:ascii="Times New Roman" w:hAnsi="Times New Roman" w:cs="Times New Roman"/>
            <w:noProof/>
            <w:webHidden/>
            <w:sz w:val="24"/>
            <w:szCs w:val="24"/>
          </w:rPr>
          <w:fldChar w:fldCharType="end"/>
        </w:r>
      </w:hyperlink>
    </w:p>
    <w:p w:rsidR="00363AA8" w:rsidRDefault="00E419E5">
      <w:pPr>
        <w:pStyle w:val="Tabledesillustrations"/>
        <w:tabs>
          <w:tab w:val="right" w:leader="dot" w:pos="9062"/>
        </w:tabs>
        <w:rPr>
          <w:rFonts w:eastAsiaTheme="minorEastAsia"/>
          <w:noProof/>
          <w:lang w:eastAsia="fr-FR"/>
        </w:rPr>
      </w:pPr>
      <w:hyperlink w:anchor="_Toc34303319" w:history="1">
        <w:r w:rsidR="00363AA8" w:rsidRPr="00363AA8">
          <w:rPr>
            <w:rStyle w:val="Lienhypertexte"/>
            <w:rFonts w:ascii="Times New Roman" w:hAnsi="Times New Roman" w:cs="Times New Roman"/>
            <w:b/>
            <w:noProof/>
            <w:sz w:val="24"/>
            <w:szCs w:val="24"/>
          </w:rPr>
          <w:t>Tableau 22</w:t>
        </w:r>
        <w:r w:rsidR="00363AA8" w:rsidRPr="00363AA8">
          <w:rPr>
            <w:rStyle w:val="Lienhypertexte"/>
            <w:rFonts w:ascii="Times New Roman" w:hAnsi="Times New Roman" w:cs="Times New Roman"/>
            <w:noProof/>
            <w:sz w:val="24"/>
            <w:szCs w:val="24"/>
          </w:rPr>
          <w:t>: Perceptions des détaillants sur l'évolution des ventes de céréales sèches par rapport au démarrage</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_Toc34303319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25</w:t>
        </w:r>
        <w:r w:rsidR="00363AA8" w:rsidRPr="00363AA8">
          <w:rPr>
            <w:rFonts w:ascii="Times New Roman" w:hAnsi="Times New Roman" w:cs="Times New Roman"/>
            <w:noProof/>
            <w:webHidden/>
            <w:sz w:val="24"/>
            <w:szCs w:val="24"/>
          </w:rPr>
          <w:fldChar w:fldCharType="end"/>
        </w:r>
      </w:hyperlink>
    </w:p>
    <w:p w:rsidR="00521AA4" w:rsidRPr="00521AA4" w:rsidRDefault="00521AA4" w:rsidP="00521AA4">
      <w:pPr>
        <w:rPr>
          <w:rFonts w:ascii="Times New Roman" w:hAnsi="Times New Roman" w:cs="Times New Roman"/>
          <w:sz w:val="24"/>
          <w:szCs w:val="24"/>
        </w:rPr>
      </w:pPr>
      <w:r w:rsidRPr="00521AA4">
        <w:rPr>
          <w:rFonts w:ascii="Times New Roman" w:hAnsi="Times New Roman" w:cs="Times New Roman"/>
          <w:sz w:val="24"/>
          <w:szCs w:val="24"/>
        </w:rPr>
        <w:fldChar w:fldCharType="end"/>
      </w:r>
    </w:p>
    <w:p w:rsidR="00C13249" w:rsidRDefault="00C13249">
      <w:pPr>
        <w:rPr>
          <w:rFonts w:ascii="Times New Roman" w:eastAsiaTheme="majorEastAsia" w:hAnsi="Times New Roman" w:cstheme="majorBidi"/>
          <w:color w:val="44546A" w:themeColor="text2"/>
          <w:sz w:val="32"/>
          <w:szCs w:val="32"/>
        </w:rPr>
      </w:pPr>
      <w:r>
        <w:br w:type="page"/>
      </w:r>
    </w:p>
    <w:p w:rsidR="00C13249" w:rsidRDefault="005B594A" w:rsidP="0044635E">
      <w:pPr>
        <w:pStyle w:val="Titre1"/>
        <w:numPr>
          <w:ilvl w:val="0"/>
          <w:numId w:val="0"/>
        </w:numPr>
      </w:pPr>
      <w:bookmarkStart w:id="4" w:name="_Toc34303389"/>
      <w:r w:rsidRPr="005B594A">
        <w:lastRenderedPageBreak/>
        <w:t>Liste des figures</w:t>
      </w:r>
      <w:bookmarkEnd w:id="4"/>
    </w:p>
    <w:p w:rsidR="00363AA8" w:rsidRPr="00363AA8" w:rsidRDefault="00521AA4">
      <w:pPr>
        <w:pStyle w:val="Tabledesillustrations"/>
        <w:tabs>
          <w:tab w:val="right" w:leader="dot" w:pos="9062"/>
        </w:tabs>
        <w:rPr>
          <w:rFonts w:ascii="Times New Roman" w:eastAsiaTheme="minorEastAsia" w:hAnsi="Times New Roman" w:cs="Times New Roman"/>
          <w:noProof/>
          <w:sz w:val="24"/>
          <w:szCs w:val="24"/>
          <w:lang w:eastAsia="fr-FR"/>
        </w:rPr>
      </w:pPr>
      <w:r w:rsidRPr="00521AA4">
        <w:rPr>
          <w:rFonts w:ascii="Times New Roman" w:hAnsi="Times New Roman" w:cs="Times New Roman"/>
          <w:sz w:val="24"/>
          <w:szCs w:val="24"/>
        </w:rPr>
        <w:fldChar w:fldCharType="begin"/>
      </w:r>
      <w:r w:rsidRPr="00521AA4">
        <w:rPr>
          <w:rFonts w:ascii="Times New Roman" w:hAnsi="Times New Roman" w:cs="Times New Roman"/>
          <w:sz w:val="24"/>
          <w:szCs w:val="24"/>
        </w:rPr>
        <w:instrText xml:space="preserve"> TOC \h \z \c "Figure" </w:instrText>
      </w:r>
      <w:r w:rsidRPr="00521AA4">
        <w:rPr>
          <w:rFonts w:ascii="Times New Roman" w:hAnsi="Times New Roman" w:cs="Times New Roman"/>
          <w:sz w:val="24"/>
          <w:szCs w:val="24"/>
        </w:rPr>
        <w:fldChar w:fldCharType="separate"/>
      </w:r>
      <w:hyperlink w:anchor="_Toc34303320" w:history="1">
        <w:r w:rsidR="00363AA8" w:rsidRPr="00363AA8">
          <w:rPr>
            <w:rStyle w:val="Lienhypertexte"/>
            <w:rFonts w:ascii="Times New Roman" w:hAnsi="Times New Roman" w:cs="Times New Roman"/>
            <w:b/>
            <w:noProof/>
            <w:sz w:val="24"/>
            <w:szCs w:val="24"/>
          </w:rPr>
          <w:t>Figure 1</w:t>
        </w:r>
        <w:r w:rsidR="00363AA8" w:rsidRPr="00363AA8">
          <w:rPr>
            <w:rStyle w:val="Lienhypertexte"/>
            <w:rFonts w:ascii="Times New Roman" w:hAnsi="Times New Roman" w:cs="Times New Roman"/>
            <w:noProof/>
            <w:sz w:val="24"/>
            <w:szCs w:val="24"/>
          </w:rPr>
          <w:t>: Répartition des détaillants par type de céréales vendues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_Toc34303320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8</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21" w:history="1">
        <w:r w:rsidR="00363AA8" w:rsidRPr="00363AA8">
          <w:rPr>
            <w:rStyle w:val="Lienhypertexte"/>
            <w:rFonts w:ascii="Times New Roman" w:hAnsi="Times New Roman" w:cs="Times New Roman"/>
            <w:b/>
            <w:noProof/>
            <w:sz w:val="24"/>
            <w:szCs w:val="24"/>
          </w:rPr>
          <w:t>Figure 2</w:t>
        </w:r>
        <w:r w:rsidR="00363AA8" w:rsidRPr="00363AA8">
          <w:rPr>
            <w:rStyle w:val="Lienhypertexte"/>
            <w:rFonts w:ascii="Times New Roman" w:hAnsi="Times New Roman" w:cs="Times New Roman"/>
            <w:noProof/>
            <w:sz w:val="24"/>
            <w:szCs w:val="24"/>
          </w:rPr>
          <w:t>: Forme des entreprises au démarrage</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_Toc34303321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9</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22" w:history="1">
        <w:r w:rsidR="00363AA8" w:rsidRPr="00363AA8">
          <w:rPr>
            <w:rStyle w:val="Lienhypertexte"/>
            <w:rFonts w:ascii="Times New Roman" w:hAnsi="Times New Roman" w:cs="Times New Roman"/>
            <w:b/>
            <w:noProof/>
            <w:sz w:val="24"/>
            <w:szCs w:val="24"/>
          </w:rPr>
          <w:t>Figure 3</w:t>
        </w:r>
        <w:r w:rsidR="00363AA8" w:rsidRPr="00363AA8">
          <w:rPr>
            <w:rStyle w:val="Lienhypertexte"/>
            <w:rFonts w:ascii="Times New Roman" w:hAnsi="Times New Roman" w:cs="Times New Roman"/>
            <w:noProof/>
            <w:sz w:val="24"/>
            <w:szCs w:val="24"/>
          </w:rPr>
          <w:t>: Forme des entreprises en 2018</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_Toc34303322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9</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23" w:history="1">
        <w:r w:rsidR="00363AA8" w:rsidRPr="00363AA8">
          <w:rPr>
            <w:rStyle w:val="Lienhypertexte"/>
            <w:rFonts w:ascii="Times New Roman" w:hAnsi="Times New Roman" w:cs="Times New Roman"/>
            <w:b/>
            <w:noProof/>
            <w:sz w:val="24"/>
            <w:szCs w:val="24"/>
          </w:rPr>
          <w:t>Figure 4</w:t>
        </w:r>
        <w:r w:rsidR="00363AA8" w:rsidRPr="00363AA8">
          <w:rPr>
            <w:rStyle w:val="Lienhypertexte"/>
            <w:rFonts w:ascii="Times New Roman" w:hAnsi="Times New Roman" w:cs="Times New Roman"/>
            <w:noProof/>
            <w:sz w:val="24"/>
            <w:szCs w:val="24"/>
          </w:rPr>
          <w:t>: Statut des entreprises déclarées, au démarrage</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_Toc34303323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10</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24" w:history="1">
        <w:r w:rsidR="00363AA8" w:rsidRPr="00363AA8">
          <w:rPr>
            <w:rStyle w:val="Lienhypertexte"/>
            <w:rFonts w:ascii="Times New Roman" w:hAnsi="Times New Roman" w:cs="Times New Roman"/>
            <w:b/>
            <w:noProof/>
            <w:sz w:val="24"/>
            <w:szCs w:val="24"/>
          </w:rPr>
          <w:t>Figure 5</w:t>
        </w:r>
        <w:r w:rsidR="00363AA8" w:rsidRPr="00363AA8">
          <w:rPr>
            <w:rStyle w:val="Lienhypertexte"/>
            <w:rFonts w:ascii="Times New Roman" w:hAnsi="Times New Roman" w:cs="Times New Roman"/>
            <w:noProof/>
            <w:sz w:val="24"/>
            <w:szCs w:val="24"/>
          </w:rPr>
          <w:t>: Statut des entreprises déclarées, en 2018</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_Toc34303324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10</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25" w:history="1">
        <w:r w:rsidR="00363AA8" w:rsidRPr="00363AA8">
          <w:rPr>
            <w:rStyle w:val="Lienhypertexte"/>
            <w:rFonts w:ascii="Times New Roman" w:hAnsi="Times New Roman" w:cs="Times New Roman"/>
            <w:b/>
            <w:noProof/>
            <w:sz w:val="24"/>
            <w:szCs w:val="24"/>
          </w:rPr>
          <w:t>Figure 6</w:t>
        </w:r>
        <w:r w:rsidR="00363AA8" w:rsidRPr="00363AA8">
          <w:rPr>
            <w:rStyle w:val="Lienhypertexte"/>
            <w:rFonts w:ascii="Times New Roman" w:hAnsi="Times New Roman" w:cs="Times New Roman"/>
            <w:noProof/>
            <w:sz w:val="24"/>
            <w:szCs w:val="24"/>
          </w:rPr>
          <w:t>: Principales sources de financement des activités au démarrage (% de détaillants)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_Toc34303325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11</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26" w:history="1">
        <w:r w:rsidR="00363AA8" w:rsidRPr="00363AA8">
          <w:rPr>
            <w:rStyle w:val="Lienhypertexte"/>
            <w:rFonts w:ascii="Times New Roman" w:hAnsi="Times New Roman" w:cs="Times New Roman"/>
            <w:b/>
            <w:noProof/>
            <w:sz w:val="24"/>
            <w:szCs w:val="24"/>
          </w:rPr>
          <w:t>Figure 7</w:t>
        </w:r>
        <w:r w:rsidR="00363AA8" w:rsidRPr="00363AA8">
          <w:rPr>
            <w:rStyle w:val="Lienhypertexte"/>
            <w:rFonts w:ascii="Times New Roman" w:hAnsi="Times New Roman" w:cs="Times New Roman"/>
            <w:noProof/>
            <w:sz w:val="24"/>
            <w:szCs w:val="24"/>
          </w:rPr>
          <w:t>: Types de produits vendus par les détaillants (proportions de vendeurs)</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_Toc34303326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12</w:t>
        </w:r>
        <w:r w:rsidR="00363AA8" w:rsidRPr="00363AA8">
          <w:rPr>
            <w:rFonts w:ascii="Times New Roman" w:hAnsi="Times New Roman" w:cs="Times New Roman"/>
            <w:noProof/>
            <w:webHidden/>
            <w:sz w:val="24"/>
            <w:szCs w:val="24"/>
          </w:rPr>
          <w:fldChar w:fldCharType="end"/>
        </w:r>
      </w:hyperlink>
    </w:p>
    <w:p w:rsidR="00363AA8" w:rsidRPr="00363AA8" w:rsidRDefault="00E419E5">
      <w:pPr>
        <w:pStyle w:val="Tabledesillustrations"/>
        <w:tabs>
          <w:tab w:val="right" w:leader="dot" w:pos="9062"/>
        </w:tabs>
        <w:rPr>
          <w:rFonts w:ascii="Times New Roman" w:eastAsiaTheme="minorEastAsia" w:hAnsi="Times New Roman" w:cs="Times New Roman"/>
          <w:noProof/>
          <w:sz w:val="24"/>
          <w:szCs w:val="24"/>
          <w:lang w:eastAsia="fr-FR"/>
        </w:rPr>
      </w:pPr>
      <w:hyperlink w:anchor="_Toc34303327" w:history="1">
        <w:r w:rsidR="00363AA8" w:rsidRPr="00363AA8">
          <w:rPr>
            <w:rStyle w:val="Lienhypertexte"/>
            <w:rFonts w:ascii="Times New Roman" w:hAnsi="Times New Roman" w:cs="Times New Roman"/>
            <w:b/>
            <w:noProof/>
            <w:sz w:val="24"/>
            <w:szCs w:val="24"/>
          </w:rPr>
          <w:t>Figure 8</w:t>
        </w:r>
        <w:r w:rsidR="00363AA8" w:rsidRPr="00363AA8">
          <w:rPr>
            <w:rStyle w:val="Lienhypertexte"/>
            <w:rFonts w:ascii="Times New Roman" w:hAnsi="Times New Roman" w:cs="Times New Roman"/>
            <w:noProof/>
            <w:sz w:val="24"/>
            <w:szCs w:val="24"/>
          </w:rPr>
          <w:t>: Approvisionnements en intrants des détaillants (moyennes annuelles en tonnes par détaillant)</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_Toc34303327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13</w:t>
        </w:r>
        <w:r w:rsidR="00363AA8" w:rsidRPr="00363AA8">
          <w:rPr>
            <w:rFonts w:ascii="Times New Roman" w:hAnsi="Times New Roman" w:cs="Times New Roman"/>
            <w:noProof/>
            <w:webHidden/>
            <w:sz w:val="24"/>
            <w:szCs w:val="24"/>
          </w:rPr>
          <w:fldChar w:fldCharType="end"/>
        </w:r>
      </w:hyperlink>
    </w:p>
    <w:p w:rsidR="00363AA8" w:rsidRDefault="00E419E5">
      <w:pPr>
        <w:pStyle w:val="Tabledesillustrations"/>
        <w:tabs>
          <w:tab w:val="right" w:leader="dot" w:pos="9062"/>
        </w:tabs>
        <w:rPr>
          <w:rFonts w:eastAsiaTheme="minorEastAsia"/>
          <w:noProof/>
          <w:lang w:eastAsia="fr-FR"/>
        </w:rPr>
      </w:pPr>
      <w:hyperlink w:anchor="_Toc34303328" w:history="1">
        <w:r w:rsidR="00363AA8" w:rsidRPr="00363AA8">
          <w:rPr>
            <w:rStyle w:val="Lienhypertexte"/>
            <w:rFonts w:ascii="Times New Roman" w:hAnsi="Times New Roman" w:cs="Times New Roman"/>
            <w:b/>
            <w:noProof/>
            <w:sz w:val="24"/>
            <w:szCs w:val="24"/>
          </w:rPr>
          <w:t>Figure 9</w:t>
        </w:r>
        <w:r w:rsidR="00363AA8" w:rsidRPr="00363AA8">
          <w:rPr>
            <w:rStyle w:val="Lienhypertexte"/>
            <w:rFonts w:ascii="Times New Roman" w:hAnsi="Times New Roman" w:cs="Times New Roman"/>
            <w:noProof/>
            <w:sz w:val="24"/>
            <w:szCs w:val="24"/>
          </w:rPr>
          <w:t>:Ventes annuelles moyennes des principaux produits en tonnes par détaillant</w:t>
        </w:r>
        <w:r w:rsidR="00363AA8" w:rsidRPr="00363AA8">
          <w:rPr>
            <w:rFonts w:ascii="Times New Roman" w:hAnsi="Times New Roman" w:cs="Times New Roman"/>
            <w:noProof/>
            <w:webHidden/>
            <w:sz w:val="24"/>
            <w:szCs w:val="24"/>
          </w:rPr>
          <w:tab/>
        </w:r>
        <w:r w:rsidR="00363AA8" w:rsidRPr="00363AA8">
          <w:rPr>
            <w:rFonts w:ascii="Times New Roman" w:hAnsi="Times New Roman" w:cs="Times New Roman"/>
            <w:noProof/>
            <w:webHidden/>
            <w:sz w:val="24"/>
            <w:szCs w:val="24"/>
          </w:rPr>
          <w:fldChar w:fldCharType="begin"/>
        </w:r>
        <w:r w:rsidR="00363AA8" w:rsidRPr="00363AA8">
          <w:rPr>
            <w:rFonts w:ascii="Times New Roman" w:hAnsi="Times New Roman" w:cs="Times New Roman"/>
            <w:noProof/>
            <w:webHidden/>
            <w:sz w:val="24"/>
            <w:szCs w:val="24"/>
          </w:rPr>
          <w:instrText xml:space="preserve"> PAGEREF _Toc34303328 \h </w:instrText>
        </w:r>
        <w:r w:rsidR="00363AA8" w:rsidRPr="00363AA8">
          <w:rPr>
            <w:rFonts w:ascii="Times New Roman" w:hAnsi="Times New Roman" w:cs="Times New Roman"/>
            <w:noProof/>
            <w:webHidden/>
            <w:sz w:val="24"/>
            <w:szCs w:val="24"/>
          </w:rPr>
        </w:r>
        <w:r w:rsidR="00363AA8" w:rsidRPr="00363AA8">
          <w:rPr>
            <w:rFonts w:ascii="Times New Roman" w:hAnsi="Times New Roman" w:cs="Times New Roman"/>
            <w:noProof/>
            <w:webHidden/>
            <w:sz w:val="24"/>
            <w:szCs w:val="24"/>
          </w:rPr>
          <w:fldChar w:fldCharType="separate"/>
        </w:r>
        <w:r w:rsidR="00363AA8" w:rsidRPr="00363AA8">
          <w:rPr>
            <w:rFonts w:ascii="Times New Roman" w:hAnsi="Times New Roman" w:cs="Times New Roman"/>
            <w:noProof/>
            <w:webHidden/>
            <w:sz w:val="24"/>
            <w:szCs w:val="24"/>
          </w:rPr>
          <w:t>25</w:t>
        </w:r>
        <w:r w:rsidR="00363AA8" w:rsidRPr="00363AA8">
          <w:rPr>
            <w:rFonts w:ascii="Times New Roman" w:hAnsi="Times New Roman" w:cs="Times New Roman"/>
            <w:noProof/>
            <w:webHidden/>
            <w:sz w:val="24"/>
            <w:szCs w:val="24"/>
          </w:rPr>
          <w:fldChar w:fldCharType="end"/>
        </w:r>
      </w:hyperlink>
    </w:p>
    <w:p w:rsidR="00521AA4" w:rsidRPr="00521AA4" w:rsidRDefault="00521AA4" w:rsidP="00521AA4">
      <w:pPr>
        <w:jc w:val="both"/>
      </w:pPr>
      <w:r w:rsidRPr="00521AA4">
        <w:rPr>
          <w:rFonts w:ascii="Times New Roman" w:hAnsi="Times New Roman" w:cs="Times New Roman"/>
          <w:sz w:val="24"/>
          <w:szCs w:val="24"/>
        </w:rPr>
        <w:fldChar w:fldCharType="end"/>
      </w:r>
    </w:p>
    <w:p w:rsidR="00C13249" w:rsidRDefault="00C13249">
      <w:pPr>
        <w:rPr>
          <w:rFonts w:ascii="Times New Roman" w:eastAsiaTheme="majorEastAsia" w:hAnsi="Times New Roman" w:cstheme="majorBidi"/>
          <w:color w:val="44546A" w:themeColor="text2"/>
          <w:sz w:val="32"/>
          <w:szCs w:val="32"/>
        </w:rPr>
      </w:pPr>
      <w:r>
        <w:br w:type="page"/>
      </w:r>
    </w:p>
    <w:p w:rsidR="00C13249" w:rsidRDefault="005B594A" w:rsidP="00C13249">
      <w:pPr>
        <w:pStyle w:val="Titre1"/>
        <w:numPr>
          <w:ilvl w:val="0"/>
          <w:numId w:val="0"/>
        </w:numPr>
      </w:pPr>
      <w:bookmarkStart w:id="5" w:name="_Toc4162861"/>
      <w:bookmarkStart w:id="6" w:name="_Toc34303390"/>
      <w:r w:rsidRPr="005B594A">
        <w:lastRenderedPageBreak/>
        <w:t>Sommaire</w:t>
      </w:r>
      <w:bookmarkEnd w:id="5"/>
      <w:bookmarkEnd w:id="6"/>
    </w:p>
    <w:p w:rsidR="00363AA8" w:rsidRPr="00363AA8" w:rsidRDefault="00521AA4" w:rsidP="00363AA8">
      <w:pPr>
        <w:pStyle w:val="TM1"/>
        <w:rPr>
          <w:rFonts w:eastAsiaTheme="minorEastAsia"/>
          <w:sz w:val="28"/>
          <w:szCs w:val="28"/>
          <w:lang w:eastAsia="fr-FR"/>
        </w:rPr>
      </w:pPr>
      <w:r>
        <w:fldChar w:fldCharType="begin"/>
      </w:r>
      <w:r>
        <w:instrText xml:space="preserve"> TOC \o "1-2" \h \z \u </w:instrText>
      </w:r>
      <w:r>
        <w:fldChar w:fldCharType="separate"/>
      </w:r>
      <w:hyperlink w:anchor="_Toc34303386" w:history="1">
        <w:r w:rsidR="00363AA8" w:rsidRPr="00363AA8">
          <w:rPr>
            <w:rStyle w:val="Lienhypertexte"/>
            <w:sz w:val="28"/>
            <w:szCs w:val="28"/>
          </w:rPr>
          <w:t>Liste des auteurs</w:t>
        </w:r>
        <w:r w:rsidR="00363AA8" w:rsidRPr="00363AA8">
          <w:rPr>
            <w:webHidden/>
            <w:sz w:val="28"/>
            <w:szCs w:val="28"/>
          </w:rPr>
          <w:tab/>
        </w:r>
        <w:r w:rsidR="00363AA8" w:rsidRPr="00363AA8">
          <w:rPr>
            <w:webHidden/>
            <w:sz w:val="28"/>
            <w:szCs w:val="28"/>
          </w:rPr>
          <w:fldChar w:fldCharType="begin"/>
        </w:r>
        <w:r w:rsidR="00363AA8" w:rsidRPr="00363AA8">
          <w:rPr>
            <w:webHidden/>
            <w:sz w:val="28"/>
            <w:szCs w:val="28"/>
          </w:rPr>
          <w:instrText xml:space="preserve"> PAGEREF _Toc34303386 \h </w:instrText>
        </w:r>
        <w:r w:rsidR="00363AA8" w:rsidRPr="00363AA8">
          <w:rPr>
            <w:webHidden/>
            <w:sz w:val="28"/>
            <w:szCs w:val="28"/>
          </w:rPr>
        </w:r>
        <w:r w:rsidR="00363AA8" w:rsidRPr="00363AA8">
          <w:rPr>
            <w:webHidden/>
            <w:sz w:val="28"/>
            <w:szCs w:val="28"/>
          </w:rPr>
          <w:fldChar w:fldCharType="separate"/>
        </w:r>
        <w:r w:rsidR="00363AA8" w:rsidRPr="00363AA8">
          <w:rPr>
            <w:webHidden/>
            <w:sz w:val="28"/>
            <w:szCs w:val="28"/>
          </w:rPr>
          <w:t>ii</w:t>
        </w:r>
        <w:r w:rsidR="00363AA8" w:rsidRPr="00363AA8">
          <w:rPr>
            <w:webHidden/>
            <w:sz w:val="28"/>
            <w:szCs w:val="28"/>
          </w:rPr>
          <w:fldChar w:fldCharType="end"/>
        </w:r>
      </w:hyperlink>
    </w:p>
    <w:p w:rsidR="00363AA8" w:rsidRPr="00363AA8" w:rsidRDefault="00E419E5" w:rsidP="00363AA8">
      <w:pPr>
        <w:pStyle w:val="TM1"/>
        <w:rPr>
          <w:rFonts w:eastAsiaTheme="minorEastAsia"/>
          <w:sz w:val="28"/>
          <w:szCs w:val="28"/>
          <w:lang w:eastAsia="fr-FR"/>
        </w:rPr>
      </w:pPr>
      <w:hyperlink w:anchor="_Toc34303387" w:history="1">
        <w:r w:rsidR="00363AA8" w:rsidRPr="00363AA8">
          <w:rPr>
            <w:rStyle w:val="Lienhypertexte"/>
            <w:sz w:val="28"/>
            <w:szCs w:val="28"/>
          </w:rPr>
          <w:t>Remerciements</w:t>
        </w:r>
        <w:r w:rsidR="00363AA8" w:rsidRPr="00363AA8">
          <w:rPr>
            <w:webHidden/>
            <w:sz w:val="28"/>
            <w:szCs w:val="28"/>
          </w:rPr>
          <w:tab/>
        </w:r>
        <w:r w:rsidR="00363AA8" w:rsidRPr="00363AA8">
          <w:rPr>
            <w:webHidden/>
            <w:sz w:val="28"/>
            <w:szCs w:val="28"/>
          </w:rPr>
          <w:fldChar w:fldCharType="begin"/>
        </w:r>
        <w:r w:rsidR="00363AA8" w:rsidRPr="00363AA8">
          <w:rPr>
            <w:webHidden/>
            <w:sz w:val="28"/>
            <w:szCs w:val="28"/>
          </w:rPr>
          <w:instrText xml:space="preserve"> PAGEREF _Toc34303387 \h </w:instrText>
        </w:r>
        <w:r w:rsidR="00363AA8" w:rsidRPr="00363AA8">
          <w:rPr>
            <w:webHidden/>
            <w:sz w:val="28"/>
            <w:szCs w:val="28"/>
          </w:rPr>
        </w:r>
        <w:r w:rsidR="00363AA8" w:rsidRPr="00363AA8">
          <w:rPr>
            <w:webHidden/>
            <w:sz w:val="28"/>
            <w:szCs w:val="28"/>
          </w:rPr>
          <w:fldChar w:fldCharType="separate"/>
        </w:r>
        <w:r w:rsidR="00363AA8" w:rsidRPr="00363AA8">
          <w:rPr>
            <w:webHidden/>
            <w:sz w:val="28"/>
            <w:szCs w:val="28"/>
          </w:rPr>
          <w:t>ii</w:t>
        </w:r>
        <w:r w:rsidR="00363AA8" w:rsidRPr="00363AA8">
          <w:rPr>
            <w:webHidden/>
            <w:sz w:val="28"/>
            <w:szCs w:val="28"/>
          </w:rPr>
          <w:fldChar w:fldCharType="end"/>
        </w:r>
      </w:hyperlink>
    </w:p>
    <w:p w:rsidR="00363AA8" w:rsidRPr="00363AA8" w:rsidRDefault="00E419E5" w:rsidP="00363AA8">
      <w:pPr>
        <w:pStyle w:val="TM1"/>
        <w:rPr>
          <w:rFonts w:eastAsiaTheme="minorEastAsia"/>
          <w:sz w:val="28"/>
          <w:szCs w:val="28"/>
          <w:lang w:eastAsia="fr-FR"/>
        </w:rPr>
      </w:pPr>
      <w:hyperlink w:anchor="_Toc34303388" w:history="1">
        <w:r w:rsidR="00363AA8" w:rsidRPr="00363AA8">
          <w:rPr>
            <w:rStyle w:val="Lienhypertexte"/>
            <w:sz w:val="28"/>
            <w:szCs w:val="28"/>
          </w:rPr>
          <w:t>Liste des tableaux</w:t>
        </w:r>
        <w:r w:rsidR="00363AA8" w:rsidRPr="00363AA8">
          <w:rPr>
            <w:webHidden/>
            <w:sz w:val="28"/>
            <w:szCs w:val="28"/>
          </w:rPr>
          <w:tab/>
        </w:r>
        <w:r w:rsidR="00363AA8" w:rsidRPr="00363AA8">
          <w:rPr>
            <w:webHidden/>
            <w:sz w:val="28"/>
            <w:szCs w:val="28"/>
          </w:rPr>
          <w:fldChar w:fldCharType="begin"/>
        </w:r>
        <w:r w:rsidR="00363AA8" w:rsidRPr="00363AA8">
          <w:rPr>
            <w:webHidden/>
            <w:sz w:val="28"/>
            <w:szCs w:val="28"/>
          </w:rPr>
          <w:instrText xml:space="preserve"> PAGEREF _Toc34303388 \h </w:instrText>
        </w:r>
        <w:r w:rsidR="00363AA8" w:rsidRPr="00363AA8">
          <w:rPr>
            <w:webHidden/>
            <w:sz w:val="28"/>
            <w:szCs w:val="28"/>
          </w:rPr>
        </w:r>
        <w:r w:rsidR="00363AA8" w:rsidRPr="00363AA8">
          <w:rPr>
            <w:webHidden/>
            <w:sz w:val="28"/>
            <w:szCs w:val="28"/>
          </w:rPr>
          <w:fldChar w:fldCharType="separate"/>
        </w:r>
        <w:r w:rsidR="00363AA8" w:rsidRPr="00363AA8">
          <w:rPr>
            <w:webHidden/>
            <w:sz w:val="28"/>
            <w:szCs w:val="28"/>
          </w:rPr>
          <w:t>iii</w:t>
        </w:r>
        <w:r w:rsidR="00363AA8" w:rsidRPr="00363AA8">
          <w:rPr>
            <w:webHidden/>
            <w:sz w:val="28"/>
            <w:szCs w:val="28"/>
          </w:rPr>
          <w:fldChar w:fldCharType="end"/>
        </w:r>
      </w:hyperlink>
    </w:p>
    <w:p w:rsidR="00363AA8" w:rsidRPr="00363AA8" w:rsidRDefault="00E419E5" w:rsidP="00363AA8">
      <w:pPr>
        <w:pStyle w:val="TM1"/>
        <w:rPr>
          <w:rFonts w:eastAsiaTheme="minorEastAsia"/>
          <w:sz w:val="28"/>
          <w:szCs w:val="28"/>
          <w:lang w:eastAsia="fr-FR"/>
        </w:rPr>
      </w:pPr>
      <w:hyperlink w:anchor="_Toc34303389" w:history="1">
        <w:r w:rsidR="00363AA8" w:rsidRPr="00363AA8">
          <w:rPr>
            <w:rStyle w:val="Lienhypertexte"/>
            <w:sz w:val="28"/>
            <w:szCs w:val="28"/>
          </w:rPr>
          <w:t>Liste des figures</w:t>
        </w:r>
        <w:r w:rsidR="00363AA8" w:rsidRPr="00363AA8">
          <w:rPr>
            <w:webHidden/>
            <w:sz w:val="28"/>
            <w:szCs w:val="28"/>
          </w:rPr>
          <w:tab/>
        </w:r>
        <w:r w:rsidR="00363AA8" w:rsidRPr="00363AA8">
          <w:rPr>
            <w:webHidden/>
            <w:sz w:val="28"/>
            <w:szCs w:val="28"/>
          </w:rPr>
          <w:fldChar w:fldCharType="begin"/>
        </w:r>
        <w:r w:rsidR="00363AA8" w:rsidRPr="00363AA8">
          <w:rPr>
            <w:webHidden/>
            <w:sz w:val="28"/>
            <w:szCs w:val="28"/>
          </w:rPr>
          <w:instrText xml:space="preserve"> PAGEREF _Toc34303389 \h </w:instrText>
        </w:r>
        <w:r w:rsidR="00363AA8" w:rsidRPr="00363AA8">
          <w:rPr>
            <w:webHidden/>
            <w:sz w:val="28"/>
            <w:szCs w:val="28"/>
          </w:rPr>
        </w:r>
        <w:r w:rsidR="00363AA8" w:rsidRPr="00363AA8">
          <w:rPr>
            <w:webHidden/>
            <w:sz w:val="28"/>
            <w:szCs w:val="28"/>
          </w:rPr>
          <w:fldChar w:fldCharType="separate"/>
        </w:r>
        <w:r w:rsidR="00363AA8" w:rsidRPr="00363AA8">
          <w:rPr>
            <w:webHidden/>
            <w:sz w:val="28"/>
            <w:szCs w:val="28"/>
          </w:rPr>
          <w:t>iv</w:t>
        </w:r>
        <w:r w:rsidR="00363AA8" w:rsidRPr="00363AA8">
          <w:rPr>
            <w:webHidden/>
            <w:sz w:val="28"/>
            <w:szCs w:val="28"/>
          </w:rPr>
          <w:fldChar w:fldCharType="end"/>
        </w:r>
      </w:hyperlink>
    </w:p>
    <w:p w:rsidR="00363AA8" w:rsidRPr="00363AA8" w:rsidRDefault="00E419E5" w:rsidP="00363AA8">
      <w:pPr>
        <w:pStyle w:val="TM1"/>
        <w:rPr>
          <w:rFonts w:eastAsiaTheme="minorEastAsia"/>
          <w:sz w:val="28"/>
          <w:szCs w:val="28"/>
          <w:lang w:eastAsia="fr-FR"/>
        </w:rPr>
      </w:pPr>
      <w:hyperlink w:anchor="_Toc34303391" w:history="1">
        <w:r w:rsidR="00363AA8" w:rsidRPr="00363AA8">
          <w:rPr>
            <w:rStyle w:val="Lienhypertexte"/>
            <w:sz w:val="28"/>
            <w:szCs w:val="28"/>
          </w:rPr>
          <w:t>I. Introduction</w:t>
        </w:r>
        <w:r w:rsidR="00363AA8" w:rsidRPr="00363AA8">
          <w:rPr>
            <w:webHidden/>
            <w:sz w:val="28"/>
            <w:szCs w:val="28"/>
          </w:rPr>
          <w:tab/>
        </w:r>
        <w:r w:rsidR="00363AA8" w:rsidRPr="00363AA8">
          <w:rPr>
            <w:webHidden/>
            <w:sz w:val="28"/>
            <w:szCs w:val="28"/>
          </w:rPr>
          <w:fldChar w:fldCharType="begin"/>
        </w:r>
        <w:r w:rsidR="00363AA8" w:rsidRPr="00363AA8">
          <w:rPr>
            <w:webHidden/>
            <w:sz w:val="28"/>
            <w:szCs w:val="28"/>
          </w:rPr>
          <w:instrText xml:space="preserve"> PAGEREF _Toc34303391 \h </w:instrText>
        </w:r>
        <w:r w:rsidR="00363AA8" w:rsidRPr="00363AA8">
          <w:rPr>
            <w:webHidden/>
            <w:sz w:val="28"/>
            <w:szCs w:val="28"/>
          </w:rPr>
        </w:r>
        <w:r w:rsidR="00363AA8" w:rsidRPr="00363AA8">
          <w:rPr>
            <w:webHidden/>
            <w:sz w:val="28"/>
            <w:szCs w:val="28"/>
          </w:rPr>
          <w:fldChar w:fldCharType="separate"/>
        </w:r>
        <w:r w:rsidR="00363AA8" w:rsidRPr="00363AA8">
          <w:rPr>
            <w:webHidden/>
            <w:sz w:val="28"/>
            <w:szCs w:val="28"/>
          </w:rPr>
          <w:t>1</w:t>
        </w:r>
        <w:r w:rsidR="00363AA8" w:rsidRPr="00363AA8">
          <w:rPr>
            <w:webHidden/>
            <w:sz w:val="28"/>
            <w:szCs w:val="28"/>
          </w:rPr>
          <w:fldChar w:fldCharType="end"/>
        </w:r>
      </w:hyperlink>
    </w:p>
    <w:p w:rsidR="00363AA8" w:rsidRPr="00363AA8" w:rsidRDefault="00E419E5" w:rsidP="00363AA8">
      <w:pPr>
        <w:pStyle w:val="TM1"/>
        <w:rPr>
          <w:rFonts w:eastAsiaTheme="minorEastAsia"/>
          <w:sz w:val="28"/>
          <w:szCs w:val="28"/>
          <w:lang w:eastAsia="fr-FR"/>
        </w:rPr>
      </w:pPr>
      <w:hyperlink w:anchor="_Toc34303392" w:history="1">
        <w:r w:rsidR="00363AA8" w:rsidRPr="00363AA8">
          <w:rPr>
            <w:rStyle w:val="Lienhypertexte"/>
            <w:sz w:val="28"/>
            <w:szCs w:val="28"/>
          </w:rPr>
          <w:t>II. Méthodologie et source des données</w:t>
        </w:r>
        <w:r w:rsidR="00363AA8" w:rsidRPr="00363AA8">
          <w:rPr>
            <w:webHidden/>
            <w:sz w:val="28"/>
            <w:szCs w:val="28"/>
          </w:rPr>
          <w:tab/>
        </w:r>
        <w:r w:rsidR="00363AA8" w:rsidRPr="00363AA8">
          <w:rPr>
            <w:webHidden/>
            <w:sz w:val="28"/>
            <w:szCs w:val="28"/>
          </w:rPr>
          <w:fldChar w:fldCharType="begin"/>
        </w:r>
        <w:r w:rsidR="00363AA8" w:rsidRPr="00363AA8">
          <w:rPr>
            <w:webHidden/>
            <w:sz w:val="28"/>
            <w:szCs w:val="28"/>
          </w:rPr>
          <w:instrText xml:space="preserve"> PAGEREF _Toc34303392 \h </w:instrText>
        </w:r>
        <w:r w:rsidR="00363AA8" w:rsidRPr="00363AA8">
          <w:rPr>
            <w:webHidden/>
            <w:sz w:val="28"/>
            <w:szCs w:val="28"/>
          </w:rPr>
        </w:r>
        <w:r w:rsidR="00363AA8" w:rsidRPr="00363AA8">
          <w:rPr>
            <w:webHidden/>
            <w:sz w:val="28"/>
            <w:szCs w:val="28"/>
          </w:rPr>
          <w:fldChar w:fldCharType="separate"/>
        </w:r>
        <w:r w:rsidR="00363AA8" w:rsidRPr="00363AA8">
          <w:rPr>
            <w:webHidden/>
            <w:sz w:val="28"/>
            <w:szCs w:val="28"/>
          </w:rPr>
          <w:t>3</w:t>
        </w:r>
        <w:r w:rsidR="00363AA8" w:rsidRPr="00363AA8">
          <w:rPr>
            <w:webHidden/>
            <w:sz w:val="28"/>
            <w:szCs w:val="28"/>
          </w:rPr>
          <w:fldChar w:fldCharType="end"/>
        </w:r>
      </w:hyperlink>
    </w:p>
    <w:p w:rsidR="00363AA8" w:rsidRPr="00363AA8" w:rsidRDefault="00E419E5">
      <w:pPr>
        <w:pStyle w:val="TM2"/>
        <w:tabs>
          <w:tab w:val="right" w:leader="dot" w:pos="9062"/>
        </w:tabs>
        <w:rPr>
          <w:rFonts w:ascii="Times New Roman" w:eastAsiaTheme="minorEastAsia" w:hAnsi="Times New Roman" w:cs="Times New Roman"/>
          <w:noProof/>
          <w:sz w:val="28"/>
          <w:szCs w:val="28"/>
          <w:lang w:eastAsia="fr-FR"/>
        </w:rPr>
      </w:pPr>
      <w:hyperlink w:anchor="_Toc34303393" w:history="1">
        <w:r w:rsidR="00363AA8" w:rsidRPr="00363AA8">
          <w:rPr>
            <w:rStyle w:val="Lienhypertexte"/>
            <w:rFonts w:ascii="Times New Roman" w:eastAsiaTheme="majorEastAsia" w:hAnsi="Times New Roman" w:cs="Times New Roman"/>
            <w:noProof/>
            <w:sz w:val="28"/>
            <w:szCs w:val="28"/>
          </w:rPr>
          <w:t>2.1. Le paradigme Structure-Conduite-Performance (SCP)</w:t>
        </w:r>
        <w:r w:rsidR="00363AA8" w:rsidRPr="00363AA8">
          <w:rPr>
            <w:rFonts w:ascii="Times New Roman" w:hAnsi="Times New Roman" w:cs="Times New Roman"/>
            <w:noProof/>
            <w:webHidden/>
            <w:sz w:val="28"/>
            <w:szCs w:val="28"/>
          </w:rPr>
          <w:tab/>
        </w:r>
        <w:r w:rsidR="00363AA8" w:rsidRPr="00363AA8">
          <w:rPr>
            <w:rFonts w:ascii="Times New Roman" w:hAnsi="Times New Roman" w:cs="Times New Roman"/>
            <w:noProof/>
            <w:webHidden/>
            <w:sz w:val="28"/>
            <w:szCs w:val="28"/>
          </w:rPr>
          <w:fldChar w:fldCharType="begin"/>
        </w:r>
        <w:r w:rsidR="00363AA8" w:rsidRPr="00363AA8">
          <w:rPr>
            <w:rFonts w:ascii="Times New Roman" w:hAnsi="Times New Roman" w:cs="Times New Roman"/>
            <w:noProof/>
            <w:webHidden/>
            <w:sz w:val="28"/>
            <w:szCs w:val="28"/>
          </w:rPr>
          <w:instrText xml:space="preserve"> PAGEREF _Toc34303393 \h </w:instrText>
        </w:r>
        <w:r w:rsidR="00363AA8" w:rsidRPr="00363AA8">
          <w:rPr>
            <w:rFonts w:ascii="Times New Roman" w:hAnsi="Times New Roman" w:cs="Times New Roman"/>
            <w:noProof/>
            <w:webHidden/>
            <w:sz w:val="28"/>
            <w:szCs w:val="28"/>
          </w:rPr>
        </w:r>
        <w:r w:rsidR="00363AA8" w:rsidRPr="00363AA8">
          <w:rPr>
            <w:rFonts w:ascii="Times New Roman" w:hAnsi="Times New Roman" w:cs="Times New Roman"/>
            <w:noProof/>
            <w:webHidden/>
            <w:sz w:val="28"/>
            <w:szCs w:val="28"/>
          </w:rPr>
          <w:fldChar w:fldCharType="separate"/>
        </w:r>
        <w:r w:rsidR="00363AA8" w:rsidRPr="00363AA8">
          <w:rPr>
            <w:rFonts w:ascii="Times New Roman" w:hAnsi="Times New Roman" w:cs="Times New Roman"/>
            <w:noProof/>
            <w:webHidden/>
            <w:sz w:val="28"/>
            <w:szCs w:val="28"/>
          </w:rPr>
          <w:t>3</w:t>
        </w:r>
        <w:r w:rsidR="00363AA8" w:rsidRPr="00363AA8">
          <w:rPr>
            <w:rFonts w:ascii="Times New Roman" w:hAnsi="Times New Roman" w:cs="Times New Roman"/>
            <w:noProof/>
            <w:webHidden/>
            <w:sz w:val="28"/>
            <w:szCs w:val="28"/>
          </w:rPr>
          <w:fldChar w:fldCharType="end"/>
        </w:r>
      </w:hyperlink>
    </w:p>
    <w:p w:rsidR="00363AA8" w:rsidRPr="00363AA8" w:rsidRDefault="00E419E5">
      <w:pPr>
        <w:pStyle w:val="TM2"/>
        <w:tabs>
          <w:tab w:val="right" w:leader="dot" w:pos="9062"/>
        </w:tabs>
        <w:rPr>
          <w:rFonts w:ascii="Times New Roman" w:eastAsiaTheme="minorEastAsia" w:hAnsi="Times New Roman" w:cs="Times New Roman"/>
          <w:noProof/>
          <w:sz w:val="28"/>
          <w:szCs w:val="28"/>
          <w:lang w:eastAsia="fr-FR"/>
        </w:rPr>
      </w:pPr>
      <w:hyperlink w:anchor="_Toc34303394" w:history="1">
        <w:r w:rsidR="00363AA8" w:rsidRPr="00363AA8">
          <w:rPr>
            <w:rStyle w:val="Lienhypertexte"/>
            <w:rFonts w:ascii="Times New Roman" w:eastAsia="Calibri" w:hAnsi="Times New Roman" w:cs="Times New Roman"/>
            <w:noProof/>
            <w:sz w:val="28"/>
            <w:szCs w:val="28"/>
          </w:rPr>
          <w:t>2.2. Source des données</w:t>
        </w:r>
        <w:r w:rsidR="00363AA8" w:rsidRPr="00363AA8">
          <w:rPr>
            <w:rFonts w:ascii="Times New Roman" w:hAnsi="Times New Roman" w:cs="Times New Roman"/>
            <w:noProof/>
            <w:webHidden/>
            <w:sz w:val="28"/>
            <w:szCs w:val="28"/>
          </w:rPr>
          <w:tab/>
        </w:r>
        <w:r w:rsidR="00363AA8" w:rsidRPr="00363AA8">
          <w:rPr>
            <w:rFonts w:ascii="Times New Roman" w:hAnsi="Times New Roman" w:cs="Times New Roman"/>
            <w:noProof/>
            <w:webHidden/>
            <w:sz w:val="28"/>
            <w:szCs w:val="28"/>
          </w:rPr>
          <w:fldChar w:fldCharType="begin"/>
        </w:r>
        <w:r w:rsidR="00363AA8" w:rsidRPr="00363AA8">
          <w:rPr>
            <w:rFonts w:ascii="Times New Roman" w:hAnsi="Times New Roman" w:cs="Times New Roman"/>
            <w:noProof/>
            <w:webHidden/>
            <w:sz w:val="28"/>
            <w:szCs w:val="28"/>
          </w:rPr>
          <w:instrText xml:space="preserve"> PAGEREF _Toc34303394 \h </w:instrText>
        </w:r>
        <w:r w:rsidR="00363AA8" w:rsidRPr="00363AA8">
          <w:rPr>
            <w:rFonts w:ascii="Times New Roman" w:hAnsi="Times New Roman" w:cs="Times New Roman"/>
            <w:noProof/>
            <w:webHidden/>
            <w:sz w:val="28"/>
            <w:szCs w:val="28"/>
          </w:rPr>
        </w:r>
        <w:r w:rsidR="00363AA8" w:rsidRPr="00363AA8">
          <w:rPr>
            <w:rFonts w:ascii="Times New Roman" w:hAnsi="Times New Roman" w:cs="Times New Roman"/>
            <w:noProof/>
            <w:webHidden/>
            <w:sz w:val="28"/>
            <w:szCs w:val="28"/>
          </w:rPr>
          <w:fldChar w:fldCharType="separate"/>
        </w:r>
        <w:r w:rsidR="00363AA8" w:rsidRPr="00363AA8">
          <w:rPr>
            <w:rFonts w:ascii="Times New Roman" w:hAnsi="Times New Roman" w:cs="Times New Roman"/>
            <w:noProof/>
            <w:webHidden/>
            <w:sz w:val="28"/>
            <w:szCs w:val="28"/>
          </w:rPr>
          <w:t>5</w:t>
        </w:r>
        <w:r w:rsidR="00363AA8" w:rsidRPr="00363AA8">
          <w:rPr>
            <w:rFonts w:ascii="Times New Roman" w:hAnsi="Times New Roman" w:cs="Times New Roman"/>
            <w:noProof/>
            <w:webHidden/>
            <w:sz w:val="28"/>
            <w:szCs w:val="28"/>
          </w:rPr>
          <w:fldChar w:fldCharType="end"/>
        </w:r>
      </w:hyperlink>
    </w:p>
    <w:p w:rsidR="00363AA8" w:rsidRPr="00363AA8" w:rsidRDefault="00E419E5" w:rsidP="00363AA8">
      <w:pPr>
        <w:pStyle w:val="TM1"/>
        <w:rPr>
          <w:rFonts w:eastAsiaTheme="minorEastAsia"/>
          <w:sz w:val="28"/>
          <w:szCs w:val="28"/>
          <w:lang w:eastAsia="fr-FR"/>
        </w:rPr>
      </w:pPr>
      <w:hyperlink w:anchor="_Toc34303395" w:history="1">
        <w:r w:rsidR="00363AA8" w:rsidRPr="00363AA8">
          <w:rPr>
            <w:rStyle w:val="Lienhypertexte"/>
            <w:sz w:val="28"/>
            <w:szCs w:val="28"/>
          </w:rPr>
          <w:t>III. Structure du commerce de détail</w:t>
        </w:r>
        <w:r w:rsidR="00363AA8" w:rsidRPr="00363AA8">
          <w:rPr>
            <w:webHidden/>
            <w:sz w:val="28"/>
            <w:szCs w:val="28"/>
          </w:rPr>
          <w:tab/>
        </w:r>
        <w:r w:rsidR="00363AA8" w:rsidRPr="00363AA8">
          <w:rPr>
            <w:webHidden/>
            <w:sz w:val="28"/>
            <w:szCs w:val="28"/>
          </w:rPr>
          <w:fldChar w:fldCharType="begin"/>
        </w:r>
        <w:r w:rsidR="00363AA8" w:rsidRPr="00363AA8">
          <w:rPr>
            <w:webHidden/>
            <w:sz w:val="28"/>
            <w:szCs w:val="28"/>
          </w:rPr>
          <w:instrText xml:space="preserve"> PAGEREF _Toc34303395 \h </w:instrText>
        </w:r>
        <w:r w:rsidR="00363AA8" w:rsidRPr="00363AA8">
          <w:rPr>
            <w:webHidden/>
            <w:sz w:val="28"/>
            <w:szCs w:val="28"/>
          </w:rPr>
        </w:r>
        <w:r w:rsidR="00363AA8" w:rsidRPr="00363AA8">
          <w:rPr>
            <w:webHidden/>
            <w:sz w:val="28"/>
            <w:szCs w:val="28"/>
          </w:rPr>
          <w:fldChar w:fldCharType="separate"/>
        </w:r>
        <w:r w:rsidR="00363AA8" w:rsidRPr="00363AA8">
          <w:rPr>
            <w:webHidden/>
            <w:sz w:val="28"/>
            <w:szCs w:val="28"/>
          </w:rPr>
          <w:t>6</w:t>
        </w:r>
        <w:r w:rsidR="00363AA8" w:rsidRPr="00363AA8">
          <w:rPr>
            <w:webHidden/>
            <w:sz w:val="28"/>
            <w:szCs w:val="28"/>
          </w:rPr>
          <w:fldChar w:fldCharType="end"/>
        </w:r>
      </w:hyperlink>
    </w:p>
    <w:p w:rsidR="00363AA8" w:rsidRPr="00363AA8" w:rsidRDefault="00E419E5" w:rsidP="00363AA8">
      <w:pPr>
        <w:pStyle w:val="TM1"/>
        <w:rPr>
          <w:rFonts w:eastAsiaTheme="minorEastAsia"/>
          <w:sz w:val="28"/>
          <w:szCs w:val="28"/>
          <w:lang w:eastAsia="fr-FR"/>
        </w:rPr>
      </w:pPr>
      <w:hyperlink w:anchor="_Toc34303396" w:history="1">
        <w:r w:rsidR="00363AA8" w:rsidRPr="00363AA8">
          <w:rPr>
            <w:rStyle w:val="Lienhypertexte"/>
            <w:sz w:val="28"/>
            <w:szCs w:val="28"/>
          </w:rPr>
          <w:t>IV. Comportement du commerce de détail</w:t>
        </w:r>
        <w:r w:rsidR="00363AA8" w:rsidRPr="00363AA8">
          <w:rPr>
            <w:webHidden/>
            <w:sz w:val="28"/>
            <w:szCs w:val="28"/>
          </w:rPr>
          <w:tab/>
        </w:r>
        <w:r w:rsidR="00363AA8" w:rsidRPr="00363AA8">
          <w:rPr>
            <w:webHidden/>
            <w:sz w:val="28"/>
            <w:szCs w:val="28"/>
          </w:rPr>
          <w:fldChar w:fldCharType="begin"/>
        </w:r>
        <w:r w:rsidR="00363AA8" w:rsidRPr="00363AA8">
          <w:rPr>
            <w:webHidden/>
            <w:sz w:val="28"/>
            <w:szCs w:val="28"/>
          </w:rPr>
          <w:instrText xml:space="preserve"> PAGEREF _Toc34303396 \h </w:instrText>
        </w:r>
        <w:r w:rsidR="00363AA8" w:rsidRPr="00363AA8">
          <w:rPr>
            <w:webHidden/>
            <w:sz w:val="28"/>
            <w:szCs w:val="28"/>
          </w:rPr>
        </w:r>
        <w:r w:rsidR="00363AA8" w:rsidRPr="00363AA8">
          <w:rPr>
            <w:webHidden/>
            <w:sz w:val="28"/>
            <w:szCs w:val="28"/>
          </w:rPr>
          <w:fldChar w:fldCharType="separate"/>
        </w:r>
        <w:r w:rsidR="00363AA8" w:rsidRPr="00363AA8">
          <w:rPr>
            <w:webHidden/>
            <w:sz w:val="28"/>
            <w:szCs w:val="28"/>
          </w:rPr>
          <w:t>10</w:t>
        </w:r>
        <w:r w:rsidR="00363AA8" w:rsidRPr="00363AA8">
          <w:rPr>
            <w:webHidden/>
            <w:sz w:val="28"/>
            <w:szCs w:val="28"/>
          </w:rPr>
          <w:fldChar w:fldCharType="end"/>
        </w:r>
      </w:hyperlink>
    </w:p>
    <w:p w:rsidR="00363AA8" w:rsidRPr="00363AA8" w:rsidRDefault="00E419E5" w:rsidP="00363AA8">
      <w:pPr>
        <w:pStyle w:val="TM1"/>
        <w:rPr>
          <w:rFonts w:eastAsiaTheme="minorEastAsia"/>
          <w:sz w:val="28"/>
          <w:szCs w:val="28"/>
          <w:lang w:eastAsia="fr-FR"/>
        </w:rPr>
      </w:pPr>
      <w:hyperlink w:anchor="_Toc34303397" w:history="1">
        <w:r w:rsidR="00363AA8" w:rsidRPr="00363AA8">
          <w:rPr>
            <w:rStyle w:val="Lienhypertexte"/>
            <w:sz w:val="28"/>
            <w:szCs w:val="28"/>
          </w:rPr>
          <w:t>V. Performance du commerce de détail</w:t>
        </w:r>
        <w:r w:rsidR="00363AA8" w:rsidRPr="00363AA8">
          <w:rPr>
            <w:webHidden/>
            <w:sz w:val="28"/>
            <w:szCs w:val="28"/>
          </w:rPr>
          <w:tab/>
        </w:r>
        <w:r w:rsidR="00363AA8" w:rsidRPr="00363AA8">
          <w:rPr>
            <w:webHidden/>
            <w:sz w:val="28"/>
            <w:szCs w:val="28"/>
          </w:rPr>
          <w:fldChar w:fldCharType="begin"/>
        </w:r>
        <w:r w:rsidR="00363AA8" w:rsidRPr="00363AA8">
          <w:rPr>
            <w:webHidden/>
            <w:sz w:val="28"/>
            <w:szCs w:val="28"/>
          </w:rPr>
          <w:instrText xml:space="preserve"> PAGEREF _Toc34303397 \h </w:instrText>
        </w:r>
        <w:r w:rsidR="00363AA8" w:rsidRPr="00363AA8">
          <w:rPr>
            <w:webHidden/>
            <w:sz w:val="28"/>
            <w:szCs w:val="28"/>
          </w:rPr>
        </w:r>
        <w:r w:rsidR="00363AA8" w:rsidRPr="00363AA8">
          <w:rPr>
            <w:webHidden/>
            <w:sz w:val="28"/>
            <w:szCs w:val="28"/>
          </w:rPr>
          <w:fldChar w:fldCharType="separate"/>
        </w:r>
        <w:r w:rsidR="00363AA8" w:rsidRPr="00363AA8">
          <w:rPr>
            <w:webHidden/>
            <w:sz w:val="28"/>
            <w:szCs w:val="28"/>
          </w:rPr>
          <w:t>21</w:t>
        </w:r>
        <w:r w:rsidR="00363AA8" w:rsidRPr="00363AA8">
          <w:rPr>
            <w:webHidden/>
            <w:sz w:val="28"/>
            <w:szCs w:val="28"/>
          </w:rPr>
          <w:fldChar w:fldCharType="end"/>
        </w:r>
      </w:hyperlink>
    </w:p>
    <w:p w:rsidR="00363AA8" w:rsidRPr="00363AA8" w:rsidRDefault="00E419E5" w:rsidP="00363AA8">
      <w:pPr>
        <w:pStyle w:val="TM1"/>
        <w:rPr>
          <w:rFonts w:eastAsiaTheme="minorEastAsia"/>
          <w:sz w:val="28"/>
          <w:szCs w:val="28"/>
          <w:lang w:eastAsia="fr-FR"/>
        </w:rPr>
      </w:pPr>
      <w:hyperlink w:anchor="_Toc34303398" w:history="1">
        <w:r w:rsidR="00363AA8" w:rsidRPr="00363AA8">
          <w:rPr>
            <w:rStyle w:val="Lienhypertexte"/>
            <w:sz w:val="28"/>
            <w:szCs w:val="28"/>
          </w:rPr>
          <w:t>VI. Conclusion</w:t>
        </w:r>
        <w:r w:rsidR="00363AA8" w:rsidRPr="00363AA8">
          <w:rPr>
            <w:webHidden/>
            <w:sz w:val="28"/>
            <w:szCs w:val="28"/>
          </w:rPr>
          <w:tab/>
        </w:r>
        <w:r w:rsidR="00363AA8" w:rsidRPr="00363AA8">
          <w:rPr>
            <w:webHidden/>
            <w:sz w:val="28"/>
            <w:szCs w:val="28"/>
          </w:rPr>
          <w:fldChar w:fldCharType="begin"/>
        </w:r>
        <w:r w:rsidR="00363AA8" w:rsidRPr="00363AA8">
          <w:rPr>
            <w:webHidden/>
            <w:sz w:val="28"/>
            <w:szCs w:val="28"/>
          </w:rPr>
          <w:instrText xml:space="preserve"> PAGEREF _Toc34303398 \h </w:instrText>
        </w:r>
        <w:r w:rsidR="00363AA8" w:rsidRPr="00363AA8">
          <w:rPr>
            <w:webHidden/>
            <w:sz w:val="28"/>
            <w:szCs w:val="28"/>
          </w:rPr>
        </w:r>
        <w:r w:rsidR="00363AA8" w:rsidRPr="00363AA8">
          <w:rPr>
            <w:webHidden/>
            <w:sz w:val="28"/>
            <w:szCs w:val="28"/>
          </w:rPr>
          <w:fldChar w:fldCharType="separate"/>
        </w:r>
        <w:r w:rsidR="00363AA8" w:rsidRPr="00363AA8">
          <w:rPr>
            <w:webHidden/>
            <w:sz w:val="28"/>
            <w:szCs w:val="28"/>
          </w:rPr>
          <w:t>27</w:t>
        </w:r>
        <w:r w:rsidR="00363AA8" w:rsidRPr="00363AA8">
          <w:rPr>
            <w:webHidden/>
            <w:sz w:val="28"/>
            <w:szCs w:val="28"/>
          </w:rPr>
          <w:fldChar w:fldCharType="end"/>
        </w:r>
      </w:hyperlink>
    </w:p>
    <w:p w:rsidR="00363AA8" w:rsidRDefault="00E419E5" w:rsidP="00363AA8">
      <w:pPr>
        <w:pStyle w:val="TM1"/>
        <w:rPr>
          <w:rFonts w:asciiTheme="minorHAnsi" w:eastAsiaTheme="minorEastAsia" w:hAnsiTheme="minorHAnsi" w:cstheme="minorBidi"/>
          <w:sz w:val="22"/>
          <w:szCs w:val="22"/>
          <w:lang w:eastAsia="fr-FR"/>
        </w:rPr>
      </w:pPr>
      <w:hyperlink w:anchor="_Toc34303399" w:history="1">
        <w:r w:rsidR="00363AA8" w:rsidRPr="00363AA8">
          <w:rPr>
            <w:rStyle w:val="Lienhypertexte"/>
            <w:sz w:val="28"/>
            <w:szCs w:val="28"/>
          </w:rPr>
          <w:t>Références bibliographiques</w:t>
        </w:r>
        <w:r w:rsidR="00363AA8" w:rsidRPr="00363AA8">
          <w:rPr>
            <w:webHidden/>
            <w:sz w:val="28"/>
            <w:szCs w:val="28"/>
          </w:rPr>
          <w:tab/>
        </w:r>
        <w:r w:rsidR="00363AA8" w:rsidRPr="00363AA8">
          <w:rPr>
            <w:webHidden/>
            <w:sz w:val="28"/>
            <w:szCs w:val="28"/>
          </w:rPr>
          <w:fldChar w:fldCharType="begin"/>
        </w:r>
        <w:r w:rsidR="00363AA8" w:rsidRPr="00363AA8">
          <w:rPr>
            <w:webHidden/>
            <w:sz w:val="28"/>
            <w:szCs w:val="28"/>
          </w:rPr>
          <w:instrText xml:space="preserve"> PAGEREF _Toc34303399 \h </w:instrText>
        </w:r>
        <w:r w:rsidR="00363AA8" w:rsidRPr="00363AA8">
          <w:rPr>
            <w:webHidden/>
            <w:sz w:val="28"/>
            <w:szCs w:val="28"/>
          </w:rPr>
        </w:r>
        <w:r w:rsidR="00363AA8" w:rsidRPr="00363AA8">
          <w:rPr>
            <w:webHidden/>
            <w:sz w:val="28"/>
            <w:szCs w:val="28"/>
          </w:rPr>
          <w:fldChar w:fldCharType="separate"/>
        </w:r>
        <w:r w:rsidR="00363AA8" w:rsidRPr="00363AA8">
          <w:rPr>
            <w:webHidden/>
            <w:sz w:val="28"/>
            <w:szCs w:val="28"/>
          </w:rPr>
          <w:t>28</w:t>
        </w:r>
        <w:r w:rsidR="00363AA8" w:rsidRPr="00363AA8">
          <w:rPr>
            <w:webHidden/>
            <w:sz w:val="28"/>
            <w:szCs w:val="28"/>
          </w:rPr>
          <w:fldChar w:fldCharType="end"/>
        </w:r>
      </w:hyperlink>
    </w:p>
    <w:p w:rsidR="00521AA4" w:rsidRPr="00521AA4" w:rsidRDefault="00521AA4" w:rsidP="00521AA4">
      <w:r>
        <w:fldChar w:fldCharType="end"/>
      </w:r>
    </w:p>
    <w:p w:rsidR="00C13249" w:rsidRDefault="00C13249" w:rsidP="00C13249"/>
    <w:p w:rsidR="00C13249" w:rsidRPr="00C13249" w:rsidRDefault="00C13249" w:rsidP="00C13249">
      <w:pPr>
        <w:sectPr w:rsidR="00C13249" w:rsidRPr="00C13249" w:rsidSect="00DE07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lowerRoman"/>
          <w:cols w:space="708"/>
          <w:docGrid w:linePitch="360"/>
        </w:sectPr>
      </w:pPr>
    </w:p>
    <w:p w:rsidR="005B594A" w:rsidRDefault="00823CA1" w:rsidP="0044635E">
      <w:pPr>
        <w:pStyle w:val="Titre1"/>
        <w:numPr>
          <w:ilvl w:val="0"/>
          <w:numId w:val="0"/>
        </w:numPr>
      </w:pPr>
      <w:bookmarkStart w:id="7" w:name="_Toc34303391"/>
      <w:r>
        <w:lastRenderedPageBreak/>
        <w:t>I. </w:t>
      </w:r>
      <w:r w:rsidR="00391E1B">
        <w:t>Introduction</w:t>
      </w:r>
      <w:bookmarkEnd w:id="7"/>
    </w:p>
    <w:p w:rsidR="00391E1B" w:rsidRDefault="00823CA1" w:rsidP="00FA1834">
      <w:pPr>
        <w:pStyle w:val="RapportPAPA"/>
      </w:pPr>
      <w:r w:rsidRPr="009242C8">
        <w:t>Depuis le début des années 2000, des innovations techniques et organisationnelles sont notées dans les chaines de valeur des céréales locales et elles peuvent avoir</w:t>
      </w:r>
      <w:r>
        <w:t xml:space="preserve"> </w:t>
      </w:r>
      <w:r w:rsidRPr="009242C8">
        <w:t xml:space="preserve">un impact certain sur l’intensification des productions. </w:t>
      </w:r>
      <w:r w:rsidR="00391E1B">
        <w:t>C</w:t>
      </w:r>
      <w:r w:rsidRPr="009242C8">
        <w:t>hacune de ces chaînes de valeur présente un potentiel significatif pour l’expansion, en particulier si les obstacles rencontrés tout au long de la chaîne de valeur sont surmontés et si un environnement favorable est créé pour les investissements du secteur privé.</w:t>
      </w:r>
      <w:r w:rsidR="00391E1B">
        <w:t xml:space="preserve"> Dans cette perspective, il est nécessaire d’étudier la composition, les stratégies et la performance des différents acteurs, notamment les commerçants qui constituent le lien entre les producteurs (agricoles et transformateurs) et les consommateurs.</w:t>
      </w:r>
    </w:p>
    <w:p w:rsidR="00BA6111" w:rsidRDefault="00BA6111" w:rsidP="00FA1834">
      <w:pPr>
        <w:pStyle w:val="RapportPAPA"/>
      </w:pPr>
      <w:r>
        <w:t>La commercialisation des céréales est un maillon essentiel de la chaîne de valeur. Les commerçants se distinguent de par leur implantation géographique (régions excédentaires ou déficitaires), leur position dans le circuit (collecteurs, demi-grossistes ou grossistes, commerçants/producteurs, commerçants/tra</w:t>
      </w:r>
      <w:r w:rsidR="00A40C55">
        <w:t>nsporteurs) et leur pouvoir financier (</w:t>
      </w:r>
      <w:r>
        <w:t xml:space="preserve">capacité de mobilisation de ressources financières et de produits). De manière globale le commerce de céréales se structure selon une dynamique propre qui intègre l’ensemble des éléments de la chaîne ; la hiérarchisation pouvant être rompue à n’importe quel moment selon les opportunités. </w:t>
      </w:r>
    </w:p>
    <w:p w:rsidR="00FA1834" w:rsidRPr="00FA1834" w:rsidRDefault="00BA6111" w:rsidP="00FA1834">
      <w:pPr>
        <w:pStyle w:val="RapportPAPA"/>
      </w:pPr>
      <w:r>
        <w:t>Malgré son importance, la commercialisation des céréales sèches a été très peu étudiée au Sénégal. Les rares analyses de la commercialisation des céréales sèches se trouvent dans des études chaines de valeur (</w:t>
      </w:r>
      <w:proofErr w:type="spellStart"/>
      <w:r>
        <w:t>Fall</w:t>
      </w:r>
      <w:proofErr w:type="spellEnd"/>
      <w:r>
        <w:t xml:space="preserve"> et al., 2009 ; </w:t>
      </w:r>
      <w:proofErr w:type="spellStart"/>
      <w:r>
        <w:t>Fall</w:t>
      </w:r>
      <w:proofErr w:type="spellEnd"/>
      <w:r>
        <w:t xml:space="preserve">, 2010, 2011, </w:t>
      </w:r>
      <w:proofErr w:type="spellStart"/>
      <w:r>
        <w:t>Nzaly</w:t>
      </w:r>
      <w:proofErr w:type="spellEnd"/>
      <w:r>
        <w:t xml:space="preserve">, 2001 ; </w:t>
      </w:r>
      <w:proofErr w:type="spellStart"/>
      <w:r>
        <w:t>Diémé</w:t>
      </w:r>
      <w:proofErr w:type="spellEnd"/>
      <w:r>
        <w:t>, 2014) où ce maillon est décrit de façon générale et certains cas spécifiques étudiés. Ce chapitre</w:t>
      </w:r>
      <w:r w:rsidRPr="00FA1834">
        <w:t xml:space="preserve"> a pour objectif d’étudier la structure, le comportement et la performance de la commercialisation des céréales sèches au Sénégal. L’accent est mis sur </w:t>
      </w:r>
      <w:r>
        <w:t>l</w:t>
      </w:r>
      <w:r w:rsidRPr="00FA1834">
        <w:t xml:space="preserve">e commerce de détail des céréales </w:t>
      </w:r>
      <w:r>
        <w:t xml:space="preserve">qui </w:t>
      </w:r>
      <w:r w:rsidRPr="00FA1834">
        <w:t>est généralement assuré par des boutiques de quartiers, ceux situés dans les marchés, les superettes et les supermarchés</w:t>
      </w:r>
      <w:r>
        <w:t>. Les détaillants sont des acteurs en aval, fournissant le produit aux consommateurs. Ils sont incontournables dans la</w:t>
      </w:r>
      <w:r w:rsidR="00A40C55">
        <w:t xml:space="preserve"> chaine et leurs stratégies ont</w:t>
      </w:r>
      <w:r>
        <w:t xml:space="preserve"> une influence sur leurs fournisseurs mais aussi les consommateurs. </w:t>
      </w:r>
      <w:r w:rsidR="00FA1834" w:rsidRPr="00FA1834">
        <w:t>La zone d’étude</w:t>
      </w:r>
      <w:r>
        <w:t xml:space="preserve"> couvre toutes les capitales départementales du Sénégal</w:t>
      </w:r>
      <w:r w:rsidR="00FA1834" w:rsidRPr="00FA1834">
        <w:t>.</w:t>
      </w:r>
    </w:p>
    <w:p w:rsidR="00823CA1" w:rsidRDefault="00823CA1" w:rsidP="00823CA1">
      <w:pPr>
        <w:spacing w:after="0" w:line="360" w:lineRule="auto"/>
        <w:jc w:val="both"/>
        <w:rPr>
          <w:rFonts w:ascii="Times New Roman" w:eastAsia="Calibri" w:hAnsi="Times New Roman" w:cs="Times New Roman"/>
          <w:sz w:val="24"/>
          <w:szCs w:val="24"/>
        </w:rPr>
      </w:pPr>
      <w:r w:rsidRPr="00F06873">
        <w:rPr>
          <w:rFonts w:ascii="Times New Roman" w:eastAsia="Calibri" w:hAnsi="Times New Roman" w:cs="Times New Roman"/>
          <w:sz w:val="24"/>
          <w:szCs w:val="24"/>
        </w:rPr>
        <w:t>Les pri</w:t>
      </w:r>
      <w:r w:rsidR="00BA6111">
        <w:rPr>
          <w:rFonts w:ascii="Times New Roman" w:eastAsia="Calibri" w:hAnsi="Times New Roman" w:cs="Times New Roman"/>
          <w:sz w:val="24"/>
          <w:szCs w:val="24"/>
        </w:rPr>
        <w:t xml:space="preserve">ncipales questions posées </w:t>
      </w:r>
      <w:r w:rsidRPr="00F06873">
        <w:rPr>
          <w:rFonts w:ascii="Times New Roman" w:eastAsia="Calibri" w:hAnsi="Times New Roman" w:cs="Times New Roman"/>
          <w:sz w:val="24"/>
          <w:szCs w:val="24"/>
        </w:rPr>
        <w:t>sont les suivantes ?</w:t>
      </w:r>
    </w:p>
    <w:p w:rsidR="00823CA1" w:rsidRPr="00F06873" w:rsidRDefault="00BA6111" w:rsidP="00823CA1">
      <w:pPr>
        <w:numPr>
          <w:ilvl w:val="0"/>
          <w:numId w:val="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Qui sont les détaillants</w:t>
      </w:r>
      <w:r w:rsidR="00823CA1">
        <w:rPr>
          <w:rFonts w:ascii="Times New Roman" w:eastAsia="Calibri" w:hAnsi="Times New Roman" w:cs="Times New Roman"/>
          <w:sz w:val="24"/>
          <w:szCs w:val="24"/>
        </w:rPr>
        <w:t xml:space="preserve"> de céréales sèches ? Leur composition a-t-elle changé dans le temps </w:t>
      </w:r>
      <w:r>
        <w:rPr>
          <w:rFonts w:ascii="Times New Roman" w:eastAsia="Calibri" w:hAnsi="Times New Roman" w:cs="Times New Roman"/>
          <w:sz w:val="24"/>
          <w:szCs w:val="24"/>
        </w:rPr>
        <w:t>?</w:t>
      </w:r>
    </w:p>
    <w:p w:rsidR="00823CA1" w:rsidRPr="00F06873" w:rsidRDefault="00823CA1" w:rsidP="00823CA1">
      <w:pPr>
        <w:numPr>
          <w:ilvl w:val="0"/>
          <w:numId w:val="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Quelle est</w:t>
      </w:r>
      <w:r w:rsidR="00BA6111">
        <w:rPr>
          <w:rFonts w:ascii="Times New Roman" w:eastAsia="Calibri" w:hAnsi="Times New Roman" w:cs="Times New Roman"/>
          <w:sz w:val="24"/>
          <w:szCs w:val="24"/>
        </w:rPr>
        <w:t xml:space="preserve"> le comportement des détaillants</w:t>
      </w:r>
      <w:r>
        <w:rPr>
          <w:rFonts w:ascii="Times New Roman" w:eastAsia="Calibri" w:hAnsi="Times New Roman" w:cs="Times New Roman"/>
          <w:sz w:val="24"/>
          <w:szCs w:val="24"/>
        </w:rPr>
        <w:t xml:space="preserve"> de céréales sèches ? A-t-il connu des mutations</w:t>
      </w:r>
      <w:r w:rsidRPr="00F06873">
        <w:rPr>
          <w:rFonts w:ascii="Times New Roman" w:eastAsia="Calibri" w:hAnsi="Times New Roman" w:cs="Times New Roman"/>
          <w:sz w:val="24"/>
          <w:szCs w:val="24"/>
        </w:rPr>
        <w:t xml:space="preserve"> ? En d’autres termes, le financement, </w:t>
      </w:r>
      <w:r>
        <w:rPr>
          <w:rFonts w:ascii="Times New Roman" w:eastAsia="Calibri" w:hAnsi="Times New Roman" w:cs="Times New Roman"/>
          <w:sz w:val="24"/>
          <w:szCs w:val="24"/>
        </w:rPr>
        <w:t xml:space="preserve">l’accès aux intrants, la vente des </w:t>
      </w:r>
      <w:r>
        <w:rPr>
          <w:rFonts w:ascii="Times New Roman" w:eastAsia="Calibri" w:hAnsi="Times New Roman" w:cs="Times New Roman"/>
          <w:sz w:val="24"/>
          <w:szCs w:val="24"/>
        </w:rPr>
        <w:lastRenderedPageBreak/>
        <w:t>produits ont-ils changé</w:t>
      </w:r>
      <w:r w:rsidRPr="00F06873">
        <w:rPr>
          <w:rFonts w:ascii="Times New Roman" w:eastAsia="Calibri" w:hAnsi="Times New Roman" w:cs="Times New Roman"/>
          <w:sz w:val="24"/>
          <w:szCs w:val="24"/>
        </w:rPr>
        <w:t xml:space="preserve"> ? Si oui, comment ? Le changement se traduit-il en une intensification en capital et des avancées technologiques, </w:t>
      </w:r>
      <w:r>
        <w:rPr>
          <w:rFonts w:ascii="Times New Roman" w:eastAsia="Calibri" w:hAnsi="Times New Roman" w:cs="Times New Roman"/>
          <w:sz w:val="24"/>
          <w:szCs w:val="24"/>
        </w:rPr>
        <w:t>une émergence de</w:t>
      </w:r>
      <w:r w:rsidRPr="00F06873">
        <w:rPr>
          <w:rFonts w:ascii="Times New Roman" w:eastAsia="Calibri" w:hAnsi="Times New Roman" w:cs="Times New Roman"/>
          <w:sz w:val="24"/>
          <w:szCs w:val="24"/>
        </w:rPr>
        <w:t xml:space="preserve"> la contractualisation ?</w:t>
      </w:r>
    </w:p>
    <w:p w:rsidR="00823CA1" w:rsidRDefault="00823CA1" w:rsidP="00823CA1">
      <w:pPr>
        <w:numPr>
          <w:ilvl w:val="0"/>
          <w:numId w:val="2"/>
        </w:numPr>
        <w:spacing w:after="0" w:line="360" w:lineRule="auto"/>
        <w:contextualSpacing/>
        <w:jc w:val="both"/>
        <w:rPr>
          <w:rFonts w:ascii="Times New Roman" w:eastAsia="Calibri" w:hAnsi="Times New Roman" w:cs="Times New Roman"/>
          <w:sz w:val="24"/>
          <w:szCs w:val="24"/>
        </w:rPr>
      </w:pPr>
      <w:r w:rsidRPr="00F06873">
        <w:rPr>
          <w:rFonts w:ascii="Times New Roman" w:eastAsia="Calibri" w:hAnsi="Times New Roman" w:cs="Times New Roman"/>
          <w:sz w:val="24"/>
          <w:szCs w:val="24"/>
        </w:rPr>
        <w:t xml:space="preserve"> </w:t>
      </w:r>
      <w:r>
        <w:rPr>
          <w:rFonts w:ascii="Times New Roman" w:eastAsia="Calibri" w:hAnsi="Times New Roman" w:cs="Times New Roman"/>
          <w:sz w:val="24"/>
          <w:szCs w:val="24"/>
        </w:rPr>
        <w:t>Quelle est la per</w:t>
      </w:r>
      <w:r w:rsidR="00005641">
        <w:rPr>
          <w:rFonts w:ascii="Times New Roman" w:eastAsia="Calibri" w:hAnsi="Times New Roman" w:cs="Times New Roman"/>
          <w:sz w:val="24"/>
          <w:szCs w:val="24"/>
        </w:rPr>
        <w:t>formance des détaillants</w:t>
      </w:r>
      <w:r>
        <w:rPr>
          <w:rFonts w:ascii="Times New Roman" w:eastAsia="Calibri" w:hAnsi="Times New Roman" w:cs="Times New Roman"/>
          <w:sz w:val="24"/>
          <w:szCs w:val="24"/>
        </w:rPr>
        <w:t xml:space="preserve"> de céréales sèches</w:t>
      </w:r>
      <w:r w:rsidRPr="00F06873">
        <w:rPr>
          <w:rFonts w:ascii="Times New Roman" w:eastAsia="Calibri" w:hAnsi="Times New Roman" w:cs="Times New Roman"/>
          <w:sz w:val="24"/>
          <w:szCs w:val="24"/>
        </w:rPr>
        <w:t xml:space="preserve"> ? </w:t>
      </w:r>
      <w:r w:rsidR="00005641">
        <w:rPr>
          <w:rFonts w:ascii="Times New Roman" w:eastAsia="Calibri" w:hAnsi="Times New Roman" w:cs="Times New Roman"/>
          <w:sz w:val="24"/>
          <w:szCs w:val="24"/>
        </w:rPr>
        <w:t>Est-elle inclusive ?</w:t>
      </w:r>
    </w:p>
    <w:p w:rsidR="00A40C55" w:rsidRPr="00CC72FA" w:rsidRDefault="00A40C55" w:rsidP="00A40C55">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Le reste du document est composé de cinq parties. La première présente la méthodologie et la source des données. La deuxième est consacrée à la structure du commerce de détail des céréales sèches. La troisième partie concerne le comportement de ce segment alors que la quatrième s’intéresse à sa performance. Enfin, la conclusion constituera la dernière partie.</w:t>
      </w:r>
    </w:p>
    <w:p w:rsidR="00C13249" w:rsidRDefault="00C13249">
      <w:pPr>
        <w:rPr>
          <w:rFonts w:ascii="Times New Roman" w:hAnsi="Times New Roman" w:cs="Times New Roman"/>
          <w:sz w:val="24"/>
          <w:szCs w:val="24"/>
        </w:rPr>
      </w:pPr>
      <w:r>
        <w:rPr>
          <w:rFonts w:ascii="Times New Roman" w:hAnsi="Times New Roman" w:cs="Times New Roman"/>
          <w:sz w:val="24"/>
          <w:szCs w:val="24"/>
        </w:rPr>
        <w:br w:type="page"/>
      </w:r>
    </w:p>
    <w:p w:rsidR="00C13249" w:rsidRDefault="00A43CF6" w:rsidP="0044635E">
      <w:pPr>
        <w:pStyle w:val="Titre1"/>
        <w:numPr>
          <w:ilvl w:val="0"/>
          <w:numId w:val="0"/>
        </w:numPr>
      </w:pPr>
      <w:bookmarkStart w:id="8" w:name="_Toc34303392"/>
      <w:r>
        <w:lastRenderedPageBreak/>
        <w:t>II. Méthodologie et source des données</w:t>
      </w:r>
      <w:bookmarkEnd w:id="8"/>
    </w:p>
    <w:p w:rsidR="00A43CF6" w:rsidRPr="00A43CF6" w:rsidRDefault="00A43CF6" w:rsidP="00A43CF6">
      <w:pPr>
        <w:keepNext/>
        <w:keepLines/>
        <w:numPr>
          <w:ilvl w:val="1"/>
          <w:numId w:val="1"/>
        </w:numPr>
        <w:spacing w:before="240" w:after="240"/>
        <w:ind w:left="709"/>
        <w:outlineLvl w:val="1"/>
        <w:rPr>
          <w:rFonts w:ascii="Times New Roman" w:eastAsiaTheme="majorEastAsia" w:hAnsi="Times New Roman" w:cstheme="majorBidi"/>
          <w:color w:val="44546A" w:themeColor="text2"/>
          <w:sz w:val="28"/>
          <w:szCs w:val="26"/>
        </w:rPr>
      </w:pPr>
      <w:bookmarkStart w:id="9" w:name="_Toc4141901"/>
      <w:bookmarkStart w:id="10" w:name="_Toc34303393"/>
      <w:r w:rsidRPr="00A43CF6">
        <w:rPr>
          <w:rFonts w:ascii="Times New Roman" w:eastAsiaTheme="majorEastAsia" w:hAnsi="Times New Roman" w:cstheme="majorBidi"/>
          <w:color w:val="44546A" w:themeColor="text2"/>
          <w:sz w:val="28"/>
          <w:szCs w:val="26"/>
        </w:rPr>
        <w:t>2.1. Le paradigme S</w:t>
      </w:r>
      <w:r w:rsidR="00176AB3">
        <w:rPr>
          <w:rFonts w:ascii="Times New Roman" w:eastAsiaTheme="majorEastAsia" w:hAnsi="Times New Roman" w:cstheme="majorBidi"/>
          <w:color w:val="44546A" w:themeColor="text2"/>
          <w:sz w:val="28"/>
          <w:szCs w:val="26"/>
        </w:rPr>
        <w:t>tructure-</w:t>
      </w:r>
      <w:r w:rsidRPr="00A43CF6">
        <w:rPr>
          <w:rFonts w:ascii="Times New Roman" w:eastAsiaTheme="majorEastAsia" w:hAnsi="Times New Roman" w:cstheme="majorBidi"/>
          <w:color w:val="44546A" w:themeColor="text2"/>
          <w:sz w:val="28"/>
          <w:szCs w:val="26"/>
        </w:rPr>
        <w:t>C</w:t>
      </w:r>
      <w:r w:rsidR="00176AB3">
        <w:rPr>
          <w:rFonts w:ascii="Times New Roman" w:eastAsiaTheme="majorEastAsia" w:hAnsi="Times New Roman" w:cstheme="majorBidi"/>
          <w:color w:val="44546A" w:themeColor="text2"/>
          <w:sz w:val="28"/>
          <w:szCs w:val="26"/>
        </w:rPr>
        <w:t>onduite-</w:t>
      </w:r>
      <w:r w:rsidRPr="00A43CF6">
        <w:rPr>
          <w:rFonts w:ascii="Times New Roman" w:eastAsiaTheme="majorEastAsia" w:hAnsi="Times New Roman" w:cstheme="majorBidi"/>
          <w:color w:val="44546A" w:themeColor="text2"/>
          <w:sz w:val="28"/>
          <w:szCs w:val="26"/>
        </w:rPr>
        <w:t>P</w:t>
      </w:r>
      <w:bookmarkEnd w:id="9"/>
      <w:r w:rsidR="00176AB3">
        <w:rPr>
          <w:rFonts w:ascii="Times New Roman" w:eastAsiaTheme="majorEastAsia" w:hAnsi="Times New Roman" w:cstheme="majorBidi"/>
          <w:color w:val="44546A" w:themeColor="text2"/>
          <w:sz w:val="28"/>
          <w:szCs w:val="26"/>
        </w:rPr>
        <w:t>erformance (SCP)</w:t>
      </w:r>
      <w:bookmarkEnd w:id="10"/>
    </w:p>
    <w:p w:rsidR="00A43CF6" w:rsidRPr="00A43CF6" w:rsidRDefault="00A43CF6" w:rsidP="00A43CF6">
      <w:pPr>
        <w:spacing w:before="120" w:after="120" w:line="360" w:lineRule="auto"/>
        <w:jc w:val="both"/>
        <w:rPr>
          <w:rFonts w:ascii="Times New Roman" w:eastAsia="Calibri" w:hAnsi="Times New Roman" w:cs="Times New Roman"/>
          <w:sz w:val="24"/>
          <w:szCs w:val="24"/>
        </w:rPr>
      </w:pPr>
      <w:r w:rsidRPr="00A43CF6">
        <w:rPr>
          <w:rFonts w:ascii="Times New Roman" w:eastAsia="Calibri" w:hAnsi="Times New Roman" w:cs="Times New Roman"/>
          <w:sz w:val="24"/>
          <w:szCs w:val="24"/>
        </w:rPr>
        <w:t>Le paradigme SCP est une analyse empirique qui accepte l’idée selon laquelle les structures de marché diffèrent du concept de concurrence parfaite. Ainsi, si les entreprises fixent leurs prix au-dessus des coûts marginaux, le gouvernement interviendra et des mesures seront prises pour stimuler la concurrence (</w:t>
      </w:r>
      <w:proofErr w:type="spellStart"/>
      <w:r w:rsidRPr="00A43CF6">
        <w:rPr>
          <w:rFonts w:ascii="Times New Roman" w:eastAsia="Calibri" w:hAnsi="Times New Roman" w:cs="Times New Roman"/>
          <w:sz w:val="24"/>
          <w:szCs w:val="24"/>
        </w:rPr>
        <w:t>Stănciulescu</w:t>
      </w:r>
      <w:proofErr w:type="spellEnd"/>
      <w:r w:rsidRPr="00A43CF6">
        <w:rPr>
          <w:rFonts w:ascii="Times New Roman" w:eastAsia="Calibri" w:hAnsi="Times New Roman" w:cs="Times New Roman"/>
          <w:sz w:val="24"/>
          <w:szCs w:val="24"/>
        </w:rPr>
        <w:t xml:space="preserve"> et Molnar, 2017). Sa force réside dans le fait qu’il offre une vision holistique en identifiant un large éventail d’indicateurs à analyser. L’analyse SCP intègre le cadre des cinq forces de Porter (Porter 1980, 1990) et est compatible avec la vision des entreprises basées sur les ressources (Barney 2001). Le cadre de la SCP incorpore, à partir de la théorie du réseau mondial de production (GPN</w:t>
      </w:r>
      <w:proofErr w:type="gramStart"/>
      <w:r w:rsidRPr="00A43CF6">
        <w:rPr>
          <w:rFonts w:ascii="Times New Roman" w:eastAsia="Calibri" w:hAnsi="Times New Roman" w:cs="Times New Roman"/>
          <w:sz w:val="24"/>
          <w:szCs w:val="24"/>
        </w:rPr>
        <w:t>)--</w:t>
      </w:r>
      <w:proofErr w:type="gramEnd"/>
      <w:r w:rsidRPr="00A43CF6">
        <w:rPr>
          <w:rFonts w:ascii="Times New Roman" w:eastAsia="Calibri" w:hAnsi="Times New Roman" w:cs="Times New Roman"/>
          <w:sz w:val="24"/>
          <w:szCs w:val="24"/>
        </w:rPr>
        <w:t>(</w:t>
      </w:r>
      <w:proofErr w:type="spellStart"/>
      <w:r w:rsidRPr="00A43CF6">
        <w:rPr>
          <w:rFonts w:ascii="Times New Roman" w:eastAsia="Calibri" w:hAnsi="Times New Roman" w:cs="Times New Roman"/>
          <w:sz w:val="24"/>
          <w:szCs w:val="24"/>
        </w:rPr>
        <w:t>Coe</w:t>
      </w:r>
      <w:proofErr w:type="spellEnd"/>
      <w:r w:rsidRPr="00A43CF6">
        <w:rPr>
          <w:rFonts w:ascii="Times New Roman" w:eastAsia="Calibri" w:hAnsi="Times New Roman" w:cs="Times New Roman"/>
          <w:sz w:val="24"/>
          <w:szCs w:val="24"/>
        </w:rPr>
        <w:t xml:space="preserve"> et al. 2008; </w:t>
      </w:r>
      <w:proofErr w:type="spellStart"/>
      <w:r w:rsidRPr="00A43CF6">
        <w:rPr>
          <w:rFonts w:ascii="Times New Roman" w:eastAsia="Calibri" w:hAnsi="Times New Roman" w:cs="Times New Roman"/>
          <w:sz w:val="24"/>
          <w:szCs w:val="24"/>
        </w:rPr>
        <w:t>Coe</w:t>
      </w:r>
      <w:proofErr w:type="spellEnd"/>
      <w:r w:rsidRPr="00A43CF6">
        <w:rPr>
          <w:rFonts w:ascii="Times New Roman" w:eastAsia="Calibri" w:hAnsi="Times New Roman" w:cs="Times New Roman"/>
          <w:sz w:val="24"/>
          <w:szCs w:val="24"/>
        </w:rPr>
        <w:t xml:space="preserve"> et Hess, 2011), le concept d'enracinement territorial dans son unité d'analyse et dans ses catégories sur la structure. Il met en évidence la structure, le comportement et</w:t>
      </w:r>
      <w:r w:rsidR="005162F0">
        <w:rPr>
          <w:rFonts w:ascii="Times New Roman" w:eastAsia="Calibri" w:hAnsi="Times New Roman" w:cs="Times New Roman"/>
          <w:sz w:val="24"/>
          <w:szCs w:val="24"/>
        </w:rPr>
        <w:t xml:space="preserve"> la performance de la vente au détail</w:t>
      </w:r>
      <w:r w:rsidRPr="00A43CF6">
        <w:rPr>
          <w:rFonts w:ascii="Times New Roman" w:eastAsia="Calibri" w:hAnsi="Times New Roman" w:cs="Times New Roman"/>
          <w:sz w:val="24"/>
          <w:szCs w:val="24"/>
        </w:rPr>
        <w:t xml:space="preserve"> de céréales sèches et constitue une approche intégrée pour explorer les interactions possibles. L'utilisation de ce paradigme</w:t>
      </w:r>
      <w:r w:rsidR="005162F0">
        <w:rPr>
          <w:rFonts w:ascii="Times New Roman" w:eastAsia="Calibri" w:hAnsi="Times New Roman" w:cs="Times New Roman"/>
          <w:sz w:val="24"/>
          <w:szCs w:val="24"/>
        </w:rPr>
        <w:t xml:space="preserve"> pour l’analyse de la commercialisation</w:t>
      </w:r>
      <w:r w:rsidRPr="00A43CF6">
        <w:rPr>
          <w:rFonts w:ascii="Times New Roman" w:eastAsia="Calibri" w:hAnsi="Times New Roman" w:cs="Times New Roman"/>
          <w:sz w:val="24"/>
          <w:szCs w:val="24"/>
        </w:rPr>
        <w:t xml:space="preserve"> aidera à évaluer différentes interventions politiques.</w:t>
      </w:r>
    </w:p>
    <w:p w:rsidR="00A43CF6" w:rsidRPr="00A43CF6" w:rsidRDefault="00A43CF6" w:rsidP="00A43CF6">
      <w:pPr>
        <w:spacing w:before="120" w:after="120" w:line="360" w:lineRule="auto"/>
        <w:jc w:val="both"/>
        <w:rPr>
          <w:rFonts w:ascii="Times New Roman" w:eastAsia="Calibri" w:hAnsi="Times New Roman" w:cs="Times New Roman"/>
          <w:b/>
          <w:sz w:val="24"/>
          <w:szCs w:val="24"/>
        </w:rPr>
      </w:pPr>
      <w:r w:rsidRPr="00A43CF6">
        <w:rPr>
          <w:rFonts w:ascii="Times New Roman" w:eastAsia="Calibri" w:hAnsi="Times New Roman" w:cs="Times New Roman"/>
          <w:b/>
          <w:sz w:val="24"/>
          <w:szCs w:val="24"/>
        </w:rPr>
        <w:t>Indicateurs de l’analyse SCP</w:t>
      </w:r>
    </w:p>
    <w:p w:rsidR="00A43CF6" w:rsidRPr="00A43CF6" w:rsidRDefault="00A43CF6" w:rsidP="00A43CF6">
      <w:pPr>
        <w:spacing w:before="120" w:after="120" w:line="360" w:lineRule="auto"/>
        <w:jc w:val="both"/>
        <w:rPr>
          <w:rFonts w:ascii="Times New Roman" w:eastAsia="Calibri" w:hAnsi="Times New Roman" w:cs="Times New Roman"/>
          <w:sz w:val="24"/>
          <w:szCs w:val="24"/>
        </w:rPr>
      </w:pPr>
      <w:r w:rsidRPr="00A43CF6">
        <w:rPr>
          <w:rFonts w:ascii="Times New Roman" w:eastAsia="Calibri" w:hAnsi="Times New Roman" w:cs="Times New Roman"/>
          <w:sz w:val="24"/>
          <w:szCs w:val="24"/>
        </w:rPr>
        <w:t xml:space="preserve">La définition des indicateurs d’analyse se fonde essentiellement sur les travaux de </w:t>
      </w:r>
      <w:r w:rsidRPr="00A43CF6">
        <w:rPr>
          <w:rFonts w:ascii="Times New Roman" w:eastAsia="Calibri" w:hAnsi="Times New Roman" w:cs="Times New Roman"/>
          <w:sz w:val="24"/>
          <w:szCs w:val="24"/>
        </w:rPr>
        <w:fldChar w:fldCharType="begin" w:fldLock="1"/>
      </w:r>
      <w:r w:rsidRPr="00A43CF6">
        <w:rPr>
          <w:rFonts w:ascii="Times New Roman" w:eastAsia="Calibri" w:hAnsi="Times New Roman" w:cs="Times New Roman"/>
          <w:sz w:val="24"/>
          <w:szCs w:val="24"/>
        </w:rPr>
        <w:instrText>ADDIN CSL_CITATION {"citationItems":[{"id":"ITEM-1","itemData":{"abstract":"Major changes have been occurring almost unnoticed in staple value chains in Asia. The Quiet Revolution in Staple Food Value Chains documents and explains the transformation of value chains moving rice and potatoes between the farm gate and the consumer in Bangladesh, the People's Republic of China, and India. The changes noted are the rapid rise of supermarkets, modern cold storage facilities, large rice mills, and commercialized small farmers using input-intensive, mechanized technologies. These changes affect food security in ways that are highly relevant for policymakers across Asia-the rise of supermarkets provides cheaper staples, more direct relations in the chains combined with branding have increased traceability, and the rise of cold storage has brought higher incomes for potato farmers and all-season access for potato consumers. The book also joins two debates that have long been separate and parallel-food industry and agribusiness development and market competitiveness-with the food security and poverty alleviation agenda. About the Asian Development Bank ADB's vision is an Asia and Pacific region free of poverty. Its mission is to help its developing member countries reduce poverty and improve the quality of life of their people. Despite the region's many successes, it remains home to two-thirds of the world's poor: 1.7 billion people who live on less than $2 a day, with 828 million struggling on less than $1.25 a day. ADB is committed to reducing poverty through inclusive economic growth, environmentally sustainable growth, and regional integration. Based in Manila, ADB is owned by 67 members, including 48 from the region. Its main instruments for helping its developing member countries are policy dialogue, loans, equity investments, guarantees, grants, and technical assistance. Asian Development Bank","author":[{"dropping-particle":"","family":"Reardon","given":"Thomas","non-dropping-particle":"","parse-names":false,"suffix":""},{"dropping-particle":"","family":"Chen","given":"Kevin","non-dropping-particle":"","parse-names":false,"suffix":""},{"dropping-particle":"","family":"Minten","given":"Bart","non-dropping-particle":"","parse-names":false,"suffix":""},{"dropping-particle":"","family":"Adriano","given":"Lourdes","non-dropping-particle":"","parse-names":false,"suffix":""}],"id":"ITEM-1","issued":{"date-parts":[["2012"]]},"title":"The Quiet Revolution in Staple Food Value Chains Enter the Dragon, the Elephant, and the Tiger The Quiet Revolution in Staple Food Value Chains: Enter the Dragon, the Elephant, and the Tiger Printed on recycled paper Printed in the Philippines","type":"report"},"uris":["http://www.mendeley.com/documents/?uuid=8c04902c-5e1d-423e-8098-62c30738f0fc"]}],"mendeley":{"formattedCitation":"(Reardon &lt;i&gt;et al.&lt;/i&gt;, 2012)","manualFormatting":"Reardon et al. (2012)","plainTextFormattedCitation":"(Reardon et al., 2012)","previouslyFormattedCitation":"(Reardon &lt;i&gt;et al.&lt;/i&gt;, 2012)"},"properties":{"noteIndex":0},"schema":"https://github.com/citation-style-language/schema/raw/master/csl-citation.json"}</w:instrText>
      </w:r>
      <w:r w:rsidRPr="00A43CF6">
        <w:rPr>
          <w:rFonts w:ascii="Times New Roman" w:eastAsia="Calibri" w:hAnsi="Times New Roman" w:cs="Times New Roman"/>
          <w:sz w:val="24"/>
          <w:szCs w:val="24"/>
        </w:rPr>
        <w:fldChar w:fldCharType="separate"/>
      </w:r>
      <w:r w:rsidRPr="00A43CF6">
        <w:rPr>
          <w:rFonts w:ascii="Times New Roman" w:eastAsia="Calibri" w:hAnsi="Times New Roman" w:cs="Times New Roman"/>
          <w:sz w:val="24"/>
          <w:szCs w:val="24"/>
        </w:rPr>
        <w:t xml:space="preserve">Reardon </w:t>
      </w:r>
      <w:r w:rsidRPr="00A43CF6">
        <w:rPr>
          <w:rFonts w:ascii="Times New Roman" w:eastAsia="Calibri" w:hAnsi="Times New Roman" w:cs="Times New Roman"/>
          <w:i/>
          <w:sz w:val="24"/>
          <w:szCs w:val="24"/>
        </w:rPr>
        <w:t>et al.</w:t>
      </w:r>
      <w:r w:rsidRPr="00A43CF6">
        <w:rPr>
          <w:rFonts w:ascii="Times New Roman" w:eastAsia="Calibri" w:hAnsi="Times New Roman" w:cs="Times New Roman"/>
          <w:sz w:val="24"/>
          <w:szCs w:val="24"/>
        </w:rPr>
        <w:t xml:space="preserve"> (2012)</w:t>
      </w:r>
      <w:r w:rsidRPr="00A43CF6">
        <w:rPr>
          <w:rFonts w:ascii="Times New Roman" w:eastAsia="Calibri" w:hAnsi="Times New Roman" w:cs="Times New Roman"/>
          <w:sz w:val="24"/>
          <w:szCs w:val="24"/>
        </w:rPr>
        <w:fldChar w:fldCharType="end"/>
      </w:r>
      <w:r w:rsidRPr="00A43CF6">
        <w:rPr>
          <w:rFonts w:ascii="Times New Roman" w:eastAsia="Calibri" w:hAnsi="Times New Roman" w:cs="Times New Roman"/>
          <w:sz w:val="24"/>
          <w:szCs w:val="24"/>
        </w:rPr>
        <w:t xml:space="preserve"> et de </w:t>
      </w:r>
      <w:proofErr w:type="spellStart"/>
      <w:r w:rsidRPr="00A43CF6">
        <w:rPr>
          <w:rFonts w:ascii="Times New Roman" w:eastAsia="Calibri" w:hAnsi="Times New Roman" w:cs="Times New Roman"/>
          <w:sz w:val="24"/>
          <w:szCs w:val="24"/>
        </w:rPr>
        <w:t>Figueiredo</w:t>
      </w:r>
      <w:proofErr w:type="spellEnd"/>
      <w:r w:rsidRPr="00A43CF6">
        <w:rPr>
          <w:rFonts w:ascii="Times New Roman" w:eastAsia="Calibri" w:hAnsi="Times New Roman" w:cs="Times New Roman"/>
          <w:sz w:val="24"/>
          <w:szCs w:val="24"/>
        </w:rPr>
        <w:t xml:space="preserve"> Junior et al. (2016). Chaque dimension de l’approche SCP est analysée en utilisant des indicateurs groupés en catégories. Dans la littérature, les catégories de la dimension structure sont liées à l’offre et à la demande des produits, l’environnement dans lequel évoluent les acteur</w:t>
      </w:r>
      <w:r w:rsidR="00EB4D32">
        <w:rPr>
          <w:rFonts w:ascii="Times New Roman" w:eastAsia="Calibri" w:hAnsi="Times New Roman" w:cs="Times New Roman"/>
          <w:sz w:val="24"/>
          <w:szCs w:val="24"/>
        </w:rPr>
        <w:t>s (la structure de la commercialisation</w:t>
      </w:r>
      <w:r w:rsidRPr="00A43CF6">
        <w:rPr>
          <w:rFonts w:ascii="Times New Roman" w:eastAsia="Calibri" w:hAnsi="Times New Roman" w:cs="Times New Roman"/>
          <w:sz w:val="24"/>
          <w:szCs w:val="24"/>
        </w:rPr>
        <w:t>, les infrastructures, l’environnement politique—régulations…) qui améliore ou pas leur performance. Pour la dimension comportement, les catégories sont liées aux stratégies, choix et décisions des acteurs (</w:t>
      </w:r>
      <w:proofErr w:type="spellStart"/>
      <w:r w:rsidRPr="00A43CF6">
        <w:rPr>
          <w:rFonts w:ascii="Times New Roman" w:eastAsia="Calibri" w:hAnsi="Times New Roman" w:cs="Times New Roman"/>
          <w:sz w:val="24"/>
          <w:szCs w:val="24"/>
        </w:rPr>
        <w:t>e.g</w:t>
      </w:r>
      <w:proofErr w:type="spellEnd"/>
      <w:r w:rsidRPr="00A43CF6">
        <w:rPr>
          <w:rFonts w:ascii="Times New Roman" w:eastAsia="Calibri" w:hAnsi="Times New Roman" w:cs="Times New Roman"/>
          <w:sz w:val="24"/>
          <w:szCs w:val="24"/>
        </w:rPr>
        <w:t>. décisions organisationnelles) telles que le choix des produits, des segments de marché.</w:t>
      </w:r>
    </w:p>
    <w:p w:rsidR="00A43CF6" w:rsidRPr="00A43CF6" w:rsidRDefault="00A43CF6" w:rsidP="00A43CF6">
      <w:pPr>
        <w:spacing w:before="120" w:after="120" w:line="360" w:lineRule="auto"/>
        <w:jc w:val="both"/>
        <w:rPr>
          <w:rFonts w:ascii="Times New Roman" w:eastAsia="Calibri" w:hAnsi="Times New Roman" w:cs="Times New Roman"/>
          <w:sz w:val="24"/>
          <w:szCs w:val="24"/>
        </w:rPr>
      </w:pPr>
      <w:r w:rsidRPr="00A43CF6">
        <w:rPr>
          <w:rFonts w:ascii="Times New Roman" w:eastAsia="Calibri" w:hAnsi="Times New Roman" w:cs="Times New Roman"/>
          <w:sz w:val="24"/>
          <w:szCs w:val="24"/>
        </w:rPr>
        <w:t>Les aspects liés à la structure sont</w:t>
      </w:r>
      <w:r w:rsidR="00EB4D32">
        <w:rPr>
          <w:rFonts w:ascii="Times New Roman" w:eastAsia="Calibri" w:hAnsi="Times New Roman" w:cs="Times New Roman"/>
          <w:sz w:val="24"/>
          <w:szCs w:val="24"/>
        </w:rPr>
        <w:t xml:space="preserve"> plutôt exogènes à la vente au détail</w:t>
      </w:r>
      <w:r w:rsidRPr="00A43CF6">
        <w:rPr>
          <w:rFonts w:ascii="Times New Roman" w:eastAsia="Calibri" w:hAnsi="Times New Roman" w:cs="Times New Roman"/>
          <w:sz w:val="24"/>
          <w:szCs w:val="24"/>
        </w:rPr>
        <w:t xml:space="preserve"> alors que les aspects liés au comportement sont davantage endogènes. Cependant, de </w:t>
      </w:r>
      <w:proofErr w:type="spellStart"/>
      <w:r w:rsidRPr="00A43CF6">
        <w:rPr>
          <w:rFonts w:ascii="Times New Roman" w:eastAsia="Calibri" w:hAnsi="Times New Roman" w:cs="Times New Roman"/>
          <w:sz w:val="24"/>
          <w:szCs w:val="24"/>
        </w:rPr>
        <w:t>Figueiredo</w:t>
      </w:r>
      <w:proofErr w:type="spellEnd"/>
      <w:r w:rsidRPr="00A43CF6">
        <w:rPr>
          <w:rFonts w:ascii="Times New Roman" w:eastAsia="Calibri" w:hAnsi="Times New Roman" w:cs="Times New Roman"/>
          <w:sz w:val="24"/>
          <w:szCs w:val="24"/>
        </w:rPr>
        <w:t xml:space="preserve"> Junior et al. (2016), stipulent que les catégories de la dimension structure peuvent être influencées par le comportement. Ce qui ne les rend pas complètement exogènes. Pour la performance, les indicateurs sont liés à l’efficience des opé</w:t>
      </w:r>
      <w:r w:rsidR="00E20B59">
        <w:rPr>
          <w:rFonts w:ascii="Times New Roman" w:eastAsia="Calibri" w:hAnsi="Times New Roman" w:cs="Times New Roman"/>
          <w:sz w:val="24"/>
          <w:szCs w:val="24"/>
        </w:rPr>
        <w:t>rations, les chiffres d’affaire</w:t>
      </w:r>
      <w:r w:rsidRPr="00A43CF6">
        <w:rPr>
          <w:rFonts w:ascii="Times New Roman" w:eastAsia="Calibri" w:hAnsi="Times New Roman" w:cs="Times New Roman"/>
          <w:sz w:val="24"/>
          <w:szCs w:val="24"/>
        </w:rPr>
        <w:t xml:space="preserve"> et la contribution de l’activité au développement local et la réduction de la pauvreté.</w:t>
      </w:r>
    </w:p>
    <w:p w:rsidR="00A43CF6" w:rsidRPr="00A43CF6" w:rsidRDefault="00A43CF6" w:rsidP="00A43CF6">
      <w:pPr>
        <w:spacing w:before="120" w:after="120" w:line="360" w:lineRule="auto"/>
        <w:jc w:val="both"/>
        <w:rPr>
          <w:rFonts w:ascii="Times New Roman" w:eastAsia="Calibri" w:hAnsi="Times New Roman" w:cs="Times New Roman"/>
          <w:sz w:val="24"/>
          <w:szCs w:val="24"/>
        </w:rPr>
      </w:pPr>
    </w:p>
    <w:p w:rsidR="00A43CF6" w:rsidRPr="00A43CF6" w:rsidRDefault="00A43CF6" w:rsidP="00A43CF6">
      <w:pPr>
        <w:numPr>
          <w:ilvl w:val="0"/>
          <w:numId w:val="3"/>
        </w:numPr>
        <w:spacing w:before="120" w:after="120" w:line="360" w:lineRule="auto"/>
        <w:jc w:val="both"/>
        <w:rPr>
          <w:rFonts w:ascii="Times New Roman" w:eastAsia="Calibri" w:hAnsi="Times New Roman" w:cs="Times New Roman"/>
          <w:b/>
          <w:sz w:val="24"/>
          <w:szCs w:val="24"/>
        </w:rPr>
      </w:pPr>
      <w:r w:rsidRPr="00A43CF6">
        <w:rPr>
          <w:rFonts w:ascii="Times New Roman" w:eastAsia="Calibri" w:hAnsi="Times New Roman" w:cs="Times New Roman"/>
          <w:b/>
          <w:sz w:val="24"/>
          <w:szCs w:val="24"/>
        </w:rPr>
        <w:lastRenderedPageBreak/>
        <w:t xml:space="preserve">Les indicateurs de structure </w:t>
      </w:r>
    </w:p>
    <w:p w:rsidR="00A43CF6" w:rsidRPr="00A43CF6" w:rsidRDefault="00A43CF6" w:rsidP="00A43CF6">
      <w:pPr>
        <w:spacing w:before="120" w:after="120" w:line="360" w:lineRule="auto"/>
        <w:jc w:val="both"/>
        <w:rPr>
          <w:rFonts w:ascii="Times New Roman" w:eastAsia="Calibri" w:hAnsi="Times New Roman" w:cs="Times New Roman"/>
          <w:sz w:val="24"/>
          <w:szCs w:val="24"/>
        </w:rPr>
      </w:pPr>
      <w:r w:rsidRPr="00A43CF6">
        <w:rPr>
          <w:rFonts w:ascii="Times New Roman" w:eastAsia="Calibri" w:hAnsi="Times New Roman" w:cs="Times New Roman"/>
          <w:sz w:val="24"/>
          <w:szCs w:val="24"/>
        </w:rPr>
        <w:t>La structure est analysée en considérant :</w:t>
      </w:r>
    </w:p>
    <w:p w:rsidR="00A43CF6" w:rsidRPr="00A43CF6" w:rsidRDefault="003935C3" w:rsidP="00A43CF6">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la forme de la commercialisation : nombre de commerçants</w:t>
      </w:r>
      <w:r w:rsidR="00A43CF6" w:rsidRPr="00A43CF6">
        <w:rPr>
          <w:rFonts w:ascii="Times New Roman" w:eastAsia="Calibri" w:hAnsi="Times New Roman" w:cs="Times New Roman"/>
          <w:sz w:val="24"/>
          <w:szCs w:val="24"/>
        </w:rPr>
        <w:t>, leur classification et le poids de chaque type (petits, moyens, grands), la</w:t>
      </w:r>
      <w:r>
        <w:rPr>
          <w:rFonts w:ascii="Times New Roman" w:eastAsia="Calibri" w:hAnsi="Times New Roman" w:cs="Times New Roman"/>
          <w:sz w:val="24"/>
          <w:szCs w:val="24"/>
        </w:rPr>
        <w:t xml:space="preserve"> localisation des commerçant</w:t>
      </w:r>
      <w:r w:rsidR="00A43CF6" w:rsidRPr="00A43CF6">
        <w:rPr>
          <w:rFonts w:ascii="Times New Roman" w:eastAsia="Calibri" w:hAnsi="Times New Roman" w:cs="Times New Roman"/>
          <w:sz w:val="24"/>
          <w:szCs w:val="24"/>
        </w:rPr>
        <w:t xml:space="preserve">s (région, département), les produits proposés, leurs caractéristiques, etc. </w:t>
      </w:r>
    </w:p>
    <w:p w:rsidR="00A43CF6" w:rsidRPr="00A43CF6" w:rsidRDefault="00A43CF6" w:rsidP="00A43CF6">
      <w:pPr>
        <w:spacing w:before="120" w:after="120" w:line="360" w:lineRule="auto"/>
        <w:jc w:val="both"/>
        <w:rPr>
          <w:rFonts w:ascii="Times New Roman" w:eastAsia="Calibri" w:hAnsi="Times New Roman" w:cs="Times New Roman"/>
          <w:sz w:val="24"/>
          <w:szCs w:val="24"/>
        </w:rPr>
      </w:pPr>
      <w:r w:rsidRPr="00A43CF6">
        <w:rPr>
          <w:rFonts w:ascii="Times New Roman" w:eastAsia="Calibri" w:hAnsi="Times New Roman" w:cs="Times New Roman"/>
          <w:sz w:val="24"/>
          <w:szCs w:val="24"/>
        </w:rPr>
        <w:t>ii) la répartition des produits proposés qui renseigne par exemple su</w:t>
      </w:r>
      <w:r w:rsidR="003935C3">
        <w:rPr>
          <w:rFonts w:ascii="Times New Roman" w:eastAsia="Calibri" w:hAnsi="Times New Roman" w:cs="Times New Roman"/>
          <w:sz w:val="24"/>
          <w:szCs w:val="24"/>
        </w:rPr>
        <w:t>r les classes de commerçants</w:t>
      </w:r>
      <w:r w:rsidRPr="00A43CF6">
        <w:rPr>
          <w:rFonts w:ascii="Times New Roman" w:eastAsia="Calibri" w:hAnsi="Times New Roman" w:cs="Times New Roman"/>
          <w:sz w:val="24"/>
          <w:szCs w:val="24"/>
        </w:rPr>
        <w:t xml:space="preserve"> qui participent le plus à la fourniture d’un produit.</w:t>
      </w:r>
    </w:p>
    <w:p w:rsidR="00A43CF6" w:rsidRPr="00A43CF6" w:rsidRDefault="00A43CF6" w:rsidP="00A43CF6">
      <w:pPr>
        <w:spacing w:before="120" w:after="120" w:line="360" w:lineRule="auto"/>
        <w:jc w:val="both"/>
        <w:rPr>
          <w:rFonts w:ascii="Times New Roman" w:eastAsia="Calibri" w:hAnsi="Times New Roman" w:cs="Times New Roman"/>
          <w:sz w:val="24"/>
          <w:szCs w:val="24"/>
        </w:rPr>
      </w:pPr>
      <w:r w:rsidRPr="00A43CF6">
        <w:rPr>
          <w:rFonts w:ascii="Times New Roman" w:eastAsia="Calibri" w:hAnsi="Times New Roman" w:cs="Times New Roman"/>
          <w:sz w:val="24"/>
          <w:szCs w:val="24"/>
        </w:rPr>
        <w:t xml:space="preserve">iv) l’environnement : politique (notamment les régulations), infrastructures (accessibilité routes, </w:t>
      </w:r>
      <w:r w:rsidR="00E20B59">
        <w:rPr>
          <w:rFonts w:ascii="Times New Roman" w:eastAsia="Calibri" w:hAnsi="Times New Roman" w:cs="Times New Roman"/>
          <w:sz w:val="24"/>
          <w:szCs w:val="24"/>
        </w:rPr>
        <w:t>marchés...) qui nous permettront</w:t>
      </w:r>
      <w:r w:rsidRPr="00A43CF6">
        <w:rPr>
          <w:rFonts w:ascii="Times New Roman" w:eastAsia="Calibri" w:hAnsi="Times New Roman" w:cs="Times New Roman"/>
          <w:sz w:val="24"/>
          <w:szCs w:val="24"/>
        </w:rPr>
        <w:t xml:space="preserve"> de comprendre et d’expliquer certaines évolutions et constats.</w:t>
      </w:r>
    </w:p>
    <w:p w:rsidR="00A43CF6" w:rsidRPr="00A43CF6" w:rsidRDefault="00A43CF6" w:rsidP="00A43CF6">
      <w:pPr>
        <w:spacing w:before="120" w:after="120" w:line="360" w:lineRule="auto"/>
        <w:jc w:val="both"/>
        <w:rPr>
          <w:rFonts w:ascii="Times New Roman" w:eastAsia="Calibri" w:hAnsi="Times New Roman" w:cs="Times New Roman"/>
          <w:color w:val="000000"/>
          <w:sz w:val="24"/>
          <w:szCs w:val="24"/>
        </w:rPr>
      </w:pPr>
      <w:r w:rsidRPr="00A43CF6">
        <w:rPr>
          <w:rFonts w:ascii="Times New Roman" w:eastAsia="Calibri" w:hAnsi="Times New Roman" w:cs="Times New Roman"/>
          <w:color w:val="000000"/>
          <w:sz w:val="24"/>
          <w:szCs w:val="24"/>
        </w:rPr>
        <w:t>Dans cette partie sur la structure, les aspects liés aux aptitudes (</w:t>
      </w:r>
      <w:proofErr w:type="spellStart"/>
      <w:r w:rsidRPr="00A43CF6">
        <w:rPr>
          <w:rFonts w:ascii="Times New Roman" w:eastAsia="Calibri" w:hAnsi="Times New Roman" w:cs="Times New Roman"/>
          <w:color w:val="000000"/>
          <w:sz w:val="24"/>
          <w:szCs w:val="24"/>
        </w:rPr>
        <w:t>e.g</w:t>
      </w:r>
      <w:proofErr w:type="spellEnd"/>
      <w:r w:rsidRPr="00A43CF6">
        <w:rPr>
          <w:rFonts w:ascii="Times New Roman" w:eastAsia="Calibri" w:hAnsi="Times New Roman" w:cs="Times New Roman"/>
          <w:color w:val="000000"/>
          <w:sz w:val="24"/>
          <w:szCs w:val="24"/>
        </w:rPr>
        <w:t>. caractéristiques liées à l’éducation) seront mobilisés dans les analyses pour expliquer certains résultats.</w:t>
      </w:r>
    </w:p>
    <w:p w:rsidR="00A43CF6" w:rsidRPr="00A43CF6" w:rsidRDefault="00A43CF6" w:rsidP="00A43CF6">
      <w:pPr>
        <w:numPr>
          <w:ilvl w:val="0"/>
          <w:numId w:val="4"/>
        </w:numPr>
        <w:spacing w:before="120" w:after="120" w:line="360" w:lineRule="auto"/>
        <w:jc w:val="both"/>
        <w:rPr>
          <w:rFonts w:ascii="Times New Roman" w:eastAsia="Calibri" w:hAnsi="Times New Roman" w:cs="Times New Roman"/>
          <w:b/>
          <w:sz w:val="24"/>
          <w:szCs w:val="24"/>
        </w:rPr>
      </w:pPr>
      <w:r w:rsidRPr="00A43CF6">
        <w:rPr>
          <w:rFonts w:ascii="Times New Roman" w:eastAsia="Calibri" w:hAnsi="Times New Roman" w:cs="Times New Roman"/>
          <w:b/>
          <w:sz w:val="24"/>
          <w:szCs w:val="24"/>
        </w:rPr>
        <w:t>Les indicateurs de comportement</w:t>
      </w:r>
    </w:p>
    <w:p w:rsidR="00A43CF6" w:rsidRPr="00A43CF6" w:rsidRDefault="00A43CF6" w:rsidP="00A43CF6">
      <w:pPr>
        <w:spacing w:before="120" w:after="120" w:line="360" w:lineRule="auto"/>
        <w:jc w:val="both"/>
        <w:rPr>
          <w:rFonts w:ascii="Times New Roman" w:eastAsia="Calibri" w:hAnsi="Times New Roman" w:cs="Times New Roman"/>
          <w:color w:val="000000"/>
          <w:sz w:val="24"/>
          <w:szCs w:val="24"/>
        </w:rPr>
      </w:pPr>
      <w:r w:rsidRPr="00A43CF6">
        <w:rPr>
          <w:rFonts w:ascii="Times New Roman" w:eastAsia="Calibri" w:hAnsi="Times New Roman" w:cs="Times New Roman"/>
          <w:color w:val="000000"/>
          <w:sz w:val="24"/>
          <w:szCs w:val="24"/>
        </w:rPr>
        <w:t>Les catégories considérées renseignent sur :  i) comment se fait le financement</w:t>
      </w:r>
      <w:r w:rsidR="003935C3">
        <w:rPr>
          <w:rFonts w:ascii="Times New Roman" w:eastAsia="Calibri" w:hAnsi="Times New Roman" w:cs="Times New Roman"/>
          <w:color w:val="000000"/>
          <w:sz w:val="24"/>
          <w:szCs w:val="24"/>
        </w:rPr>
        <w:t xml:space="preserve"> des activités de commercialisation</w:t>
      </w:r>
      <w:r w:rsidRPr="00A43CF6">
        <w:rPr>
          <w:rFonts w:ascii="Times New Roman" w:eastAsia="Calibri" w:hAnsi="Times New Roman" w:cs="Times New Roman"/>
          <w:color w:val="000000"/>
          <w:sz w:val="24"/>
          <w:szCs w:val="24"/>
        </w:rPr>
        <w:t xml:space="preserve"> ii) comment les acteurs utilisent les services de support ; iii)</w:t>
      </w:r>
      <w:r w:rsidR="003935C3">
        <w:rPr>
          <w:rFonts w:ascii="Times New Roman" w:eastAsia="Calibri" w:hAnsi="Times New Roman" w:cs="Times New Roman"/>
          <w:color w:val="000000"/>
          <w:sz w:val="24"/>
          <w:szCs w:val="24"/>
        </w:rPr>
        <w:t xml:space="preserve"> les réseaux des commerçants, iv) comment se </w:t>
      </w:r>
      <w:r w:rsidRPr="00A43CF6">
        <w:rPr>
          <w:rFonts w:ascii="Times New Roman" w:eastAsia="Calibri" w:hAnsi="Times New Roman" w:cs="Times New Roman"/>
          <w:color w:val="000000"/>
          <w:sz w:val="24"/>
          <w:szCs w:val="24"/>
        </w:rPr>
        <w:t>procurent</w:t>
      </w:r>
      <w:r w:rsidR="003935C3">
        <w:rPr>
          <w:rFonts w:ascii="Times New Roman" w:eastAsia="Calibri" w:hAnsi="Times New Roman" w:cs="Times New Roman"/>
          <w:color w:val="000000"/>
          <w:sz w:val="24"/>
          <w:szCs w:val="24"/>
        </w:rPr>
        <w:t>-ils</w:t>
      </w:r>
      <w:r w:rsidRPr="00A43CF6">
        <w:rPr>
          <w:rFonts w:ascii="Times New Roman" w:eastAsia="Calibri" w:hAnsi="Times New Roman" w:cs="Times New Roman"/>
          <w:color w:val="000000"/>
          <w:sz w:val="24"/>
          <w:szCs w:val="24"/>
        </w:rPr>
        <w:t xml:space="preserve"> des intrants</w:t>
      </w:r>
      <w:r w:rsidR="003935C3">
        <w:rPr>
          <w:rFonts w:ascii="Times New Roman" w:eastAsia="Calibri" w:hAnsi="Times New Roman" w:cs="Times New Roman"/>
          <w:color w:val="000000"/>
          <w:sz w:val="24"/>
          <w:szCs w:val="24"/>
        </w:rPr>
        <w:t> ?</w:t>
      </w:r>
      <w:r w:rsidRPr="00A43CF6">
        <w:rPr>
          <w:rFonts w:ascii="Times New Roman" w:eastAsia="Calibri" w:hAnsi="Times New Roman" w:cs="Times New Roman"/>
          <w:color w:val="000000"/>
          <w:sz w:val="24"/>
          <w:szCs w:val="24"/>
        </w:rPr>
        <w:t xml:space="preserve"> v) leurs pratiques de stockage, vi) leurs stratégies de vente. </w:t>
      </w:r>
    </w:p>
    <w:p w:rsidR="00A43CF6" w:rsidRPr="00A43CF6" w:rsidRDefault="00A43CF6" w:rsidP="00A43CF6">
      <w:pPr>
        <w:spacing w:before="120" w:after="120" w:line="360" w:lineRule="auto"/>
        <w:jc w:val="both"/>
        <w:rPr>
          <w:rFonts w:ascii="Times New Roman" w:eastAsia="Calibri" w:hAnsi="Times New Roman" w:cs="Times New Roman"/>
          <w:color w:val="000000"/>
          <w:sz w:val="24"/>
          <w:szCs w:val="24"/>
        </w:rPr>
      </w:pPr>
      <w:r w:rsidRPr="00A43CF6">
        <w:rPr>
          <w:rFonts w:ascii="Times New Roman" w:eastAsia="Calibri" w:hAnsi="Times New Roman" w:cs="Times New Roman"/>
          <w:color w:val="000000"/>
          <w:sz w:val="24"/>
          <w:szCs w:val="24"/>
        </w:rPr>
        <w:t>La politique de formation des prix est usuellement considérée dans l’approche standard du SCP, cependant, les acteurs considérés ici sont comme des « preneurs de prix » (</w:t>
      </w:r>
      <w:proofErr w:type="spellStart"/>
      <w:r w:rsidRPr="00A43CF6">
        <w:rPr>
          <w:rFonts w:ascii="Times New Roman" w:eastAsia="Calibri" w:hAnsi="Times New Roman" w:cs="Times New Roman"/>
          <w:color w:val="000000"/>
          <w:sz w:val="24"/>
          <w:szCs w:val="24"/>
        </w:rPr>
        <w:t>price</w:t>
      </w:r>
      <w:proofErr w:type="spellEnd"/>
      <w:r w:rsidRPr="00A43CF6">
        <w:rPr>
          <w:rFonts w:ascii="Times New Roman" w:eastAsia="Calibri" w:hAnsi="Times New Roman" w:cs="Times New Roman"/>
          <w:color w:val="000000"/>
          <w:sz w:val="24"/>
          <w:szCs w:val="24"/>
        </w:rPr>
        <w:t> </w:t>
      </w:r>
      <w:proofErr w:type="spellStart"/>
      <w:r w:rsidRPr="00A43CF6">
        <w:rPr>
          <w:rFonts w:ascii="Times New Roman" w:eastAsia="Calibri" w:hAnsi="Times New Roman" w:cs="Times New Roman"/>
          <w:color w:val="000000"/>
          <w:sz w:val="24"/>
          <w:szCs w:val="24"/>
        </w:rPr>
        <w:t>takers</w:t>
      </w:r>
      <w:proofErr w:type="spellEnd"/>
      <w:r w:rsidRPr="00A43CF6">
        <w:rPr>
          <w:rFonts w:ascii="Times New Roman" w:eastAsia="Calibri" w:hAnsi="Times New Roman" w:cs="Times New Roman"/>
          <w:color w:val="000000"/>
          <w:sz w:val="24"/>
          <w:szCs w:val="24"/>
        </w:rPr>
        <w:t>). Ainsi, cette analyse n’est pas incluse. Les relations (verticales et horizontales) dans la chaine de valeur font également partie des aspects à intégrer dans l’analyse du comportement. Ainsi, nous analysons les aspects techniques, physiques et/ou géographique mais également institutionnels et organisationnels qui reflètent les relations verticales et horizontales (</w:t>
      </w:r>
      <w:proofErr w:type="spellStart"/>
      <w:r w:rsidRPr="00A43CF6">
        <w:rPr>
          <w:rFonts w:ascii="Times New Roman" w:eastAsia="Calibri" w:hAnsi="Times New Roman" w:cs="Times New Roman"/>
          <w:color w:val="000000"/>
          <w:sz w:val="24"/>
          <w:szCs w:val="24"/>
        </w:rPr>
        <w:t>e.g</w:t>
      </w:r>
      <w:proofErr w:type="spellEnd"/>
      <w:r w:rsidRPr="00A43CF6">
        <w:rPr>
          <w:rFonts w:ascii="Times New Roman" w:eastAsia="Calibri" w:hAnsi="Times New Roman" w:cs="Times New Roman"/>
          <w:color w:val="000000"/>
          <w:sz w:val="24"/>
          <w:szCs w:val="24"/>
        </w:rPr>
        <w:t>. relations contractuelles). L’analyse des réseaux des acteurs permet également d’alimenter ces aspects.</w:t>
      </w:r>
    </w:p>
    <w:p w:rsidR="00A43CF6" w:rsidRPr="00A43CF6" w:rsidRDefault="00A43CF6" w:rsidP="00A43CF6">
      <w:pPr>
        <w:numPr>
          <w:ilvl w:val="0"/>
          <w:numId w:val="5"/>
        </w:numPr>
        <w:spacing w:before="120" w:after="120" w:line="360" w:lineRule="auto"/>
        <w:contextualSpacing/>
        <w:jc w:val="both"/>
        <w:rPr>
          <w:rFonts w:ascii="Times New Roman" w:eastAsia="Calibri" w:hAnsi="Times New Roman" w:cs="Times New Roman"/>
          <w:b/>
          <w:sz w:val="24"/>
          <w:szCs w:val="24"/>
        </w:rPr>
      </w:pPr>
      <w:r w:rsidRPr="00A43CF6">
        <w:rPr>
          <w:rFonts w:ascii="Times New Roman" w:eastAsia="Calibri" w:hAnsi="Times New Roman" w:cs="Times New Roman"/>
          <w:b/>
          <w:sz w:val="24"/>
          <w:szCs w:val="24"/>
        </w:rPr>
        <w:t xml:space="preserve">Les indicateurs de performance </w:t>
      </w:r>
    </w:p>
    <w:p w:rsidR="00A43CF6" w:rsidRPr="00A43CF6" w:rsidRDefault="00A43CF6" w:rsidP="00A43CF6">
      <w:pPr>
        <w:spacing w:before="120" w:after="120" w:line="360" w:lineRule="auto"/>
        <w:jc w:val="both"/>
        <w:rPr>
          <w:rFonts w:ascii="Times New Roman" w:eastAsia="Calibri" w:hAnsi="Times New Roman" w:cs="Times New Roman"/>
          <w:sz w:val="24"/>
          <w:szCs w:val="24"/>
        </w:rPr>
      </w:pPr>
      <w:r w:rsidRPr="00A43CF6">
        <w:rPr>
          <w:rFonts w:ascii="Times New Roman" w:eastAsia="Calibri" w:hAnsi="Times New Roman" w:cs="Times New Roman"/>
          <w:sz w:val="24"/>
          <w:szCs w:val="24"/>
        </w:rPr>
        <w:t>Pour la performance, l’analyse se base sur deux catégories communément utilisées dans les applications empiriques de la SCP sur les chaines de valeur : efficience des opérations et la contribution au développement local.</w:t>
      </w:r>
    </w:p>
    <w:p w:rsidR="00A43CF6" w:rsidRDefault="00A43CF6" w:rsidP="00A43CF6">
      <w:pPr>
        <w:spacing w:before="120" w:after="120" w:line="360" w:lineRule="auto"/>
        <w:jc w:val="both"/>
        <w:rPr>
          <w:rFonts w:ascii="Times New Roman" w:eastAsia="Calibri" w:hAnsi="Times New Roman" w:cs="Times New Roman"/>
          <w:sz w:val="24"/>
          <w:szCs w:val="24"/>
        </w:rPr>
      </w:pPr>
      <w:r w:rsidRPr="00A43CF6">
        <w:rPr>
          <w:rFonts w:ascii="Times New Roman" w:eastAsia="Calibri" w:hAnsi="Times New Roman" w:cs="Times New Roman"/>
          <w:sz w:val="24"/>
          <w:szCs w:val="24"/>
        </w:rPr>
        <w:t>L’efficience est mesurée par les coûts et les reve</w:t>
      </w:r>
      <w:r w:rsidR="00E20B59">
        <w:rPr>
          <w:rFonts w:ascii="Times New Roman" w:eastAsia="Calibri" w:hAnsi="Times New Roman" w:cs="Times New Roman"/>
          <w:sz w:val="24"/>
          <w:szCs w:val="24"/>
        </w:rPr>
        <w:t>nus</w:t>
      </w:r>
      <w:r w:rsidRPr="00A43CF6">
        <w:rPr>
          <w:rFonts w:ascii="Times New Roman" w:eastAsia="Calibri" w:hAnsi="Times New Roman" w:cs="Times New Roman"/>
          <w:sz w:val="24"/>
          <w:szCs w:val="24"/>
        </w:rPr>
        <w:t xml:space="preserve">. Concernant les aspects liés au développement local, les indicateurs à notre disposition ne permettent pas encore de les apprécier. </w:t>
      </w:r>
    </w:p>
    <w:p w:rsidR="00A07AFD" w:rsidRDefault="00A07AFD" w:rsidP="00A07AFD">
      <w:pPr>
        <w:pStyle w:val="Titre2"/>
        <w:rPr>
          <w:rFonts w:eastAsia="Calibri"/>
        </w:rPr>
      </w:pPr>
      <w:bookmarkStart w:id="11" w:name="_Toc34303394"/>
      <w:r>
        <w:rPr>
          <w:rFonts w:eastAsia="Calibri"/>
        </w:rPr>
        <w:lastRenderedPageBreak/>
        <w:t>2.2. Source des données</w:t>
      </w:r>
      <w:bookmarkEnd w:id="11"/>
    </w:p>
    <w:p w:rsidR="00A07AFD" w:rsidRPr="00A07AFD" w:rsidRDefault="00A07AFD" w:rsidP="00A07AFD">
      <w:pPr>
        <w:pStyle w:val="RapportPAPA"/>
      </w:pPr>
      <w:r>
        <w:t>Les données utilisées dans cette étude proviennent d’enquêtes quantitatives dont la méthodologie est décrite ci-dessous. Des entretiens ont aussi été menés auprès d’acteurs clés.</w:t>
      </w:r>
    </w:p>
    <w:p w:rsidR="00A07AFD" w:rsidRPr="00AD47B8" w:rsidRDefault="00A07AFD" w:rsidP="00A07AFD">
      <w:pPr>
        <w:pStyle w:val="Paragraphedeliste"/>
        <w:numPr>
          <w:ilvl w:val="1"/>
          <w:numId w:val="8"/>
        </w:numPr>
        <w:spacing w:before="120" w:after="120" w:line="240" w:lineRule="auto"/>
        <w:rPr>
          <w:rFonts w:ascii="Times New Roman" w:eastAsia="Calibri" w:hAnsi="Times New Roman" w:cs="Times New Roman"/>
          <w:b/>
          <w:sz w:val="24"/>
          <w:szCs w:val="24"/>
        </w:rPr>
      </w:pPr>
      <w:r w:rsidRPr="00AD47B8">
        <w:rPr>
          <w:rFonts w:ascii="Times New Roman" w:eastAsia="Calibri" w:hAnsi="Times New Roman" w:cs="Times New Roman"/>
          <w:b/>
          <w:sz w:val="24"/>
          <w:szCs w:val="24"/>
        </w:rPr>
        <w:t xml:space="preserve">Champ de l’étude </w:t>
      </w:r>
    </w:p>
    <w:p w:rsidR="00A07AFD" w:rsidRPr="009242C8" w:rsidRDefault="00A07AFD" w:rsidP="00A07AFD">
      <w:pPr>
        <w:spacing w:after="0" w:line="360" w:lineRule="auto"/>
        <w:jc w:val="both"/>
        <w:rPr>
          <w:rFonts w:ascii="Times New Roman" w:eastAsia="Calibri" w:hAnsi="Times New Roman" w:cs="Times New Roman"/>
          <w:sz w:val="24"/>
          <w:szCs w:val="24"/>
        </w:rPr>
      </w:pPr>
      <w:r w:rsidRPr="009242C8">
        <w:rPr>
          <w:rFonts w:ascii="Times New Roman" w:eastAsia="Calibri" w:hAnsi="Times New Roman" w:cs="Times New Roman"/>
          <w:sz w:val="24"/>
          <w:szCs w:val="24"/>
        </w:rPr>
        <w:t>Le champ de l’étude est le milieu urbain du Sénégal. L’univers statistique de cette étud</w:t>
      </w:r>
      <w:r w:rsidR="0089405F">
        <w:rPr>
          <w:rFonts w:ascii="Times New Roman" w:eastAsia="Calibri" w:hAnsi="Times New Roman" w:cs="Times New Roman"/>
          <w:sz w:val="24"/>
          <w:szCs w:val="24"/>
        </w:rPr>
        <w:t>e est l’ensemble des détaillants</w:t>
      </w:r>
      <w:r w:rsidRPr="009242C8">
        <w:rPr>
          <w:rFonts w:ascii="Times New Roman" w:eastAsia="Calibri" w:hAnsi="Times New Roman" w:cs="Times New Roman"/>
          <w:sz w:val="24"/>
          <w:szCs w:val="24"/>
        </w:rPr>
        <w:t xml:space="preserve"> de céréales des grandes villes du Sénégal. </w:t>
      </w:r>
      <w:r w:rsidR="00B82D9D">
        <w:rPr>
          <w:rFonts w:ascii="Times New Roman" w:eastAsia="Calibri" w:hAnsi="Times New Roman" w:cs="Times New Roman"/>
          <w:sz w:val="24"/>
          <w:szCs w:val="24"/>
        </w:rPr>
        <w:t>Il s’agit notamment des 14 capitales régionales plus les villes de Guédiawaye, Pikine, Rufisque, Mbour et Touba.</w:t>
      </w:r>
    </w:p>
    <w:p w:rsidR="00A07AFD" w:rsidRPr="00AD47B8" w:rsidRDefault="00A07AFD" w:rsidP="00A07AFD">
      <w:pPr>
        <w:pStyle w:val="Paragraphedeliste"/>
        <w:numPr>
          <w:ilvl w:val="1"/>
          <w:numId w:val="8"/>
        </w:numPr>
        <w:spacing w:before="120" w:after="120" w:line="360" w:lineRule="auto"/>
        <w:jc w:val="both"/>
        <w:rPr>
          <w:rFonts w:ascii="Times New Roman" w:eastAsia="Calibri" w:hAnsi="Times New Roman" w:cs="Times New Roman"/>
          <w:b/>
          <w:sz w:val="24"/>
          <w:szCs w:val="24"/>
        </w:rPr>
      </w:pPr>
      <w:bookmarkStart w:id="12" w:name="_Toc530126858"/>
      <w:r w:rsidRPr="00AD47B8">
        <w:rPr>
          <w:rFonts w:ascii="Times New Roman" w:eastAsia="Calibri" w:hAnsi="Times New Roman" w:cs="Times New Roman"/>
          <w:b/>
          <w:sz w:val="24"/>
          <w:szCs w:val="24"/>
        </w:rPr>
        <w:t>Base de sondage</w:t>
      </w:r>
      <w:bookmarkEnd w:id="12"/>
      <w:r w:rsidRPr="00AD47B8">
        <w:rPr>
          <w:rFonts w:ascii="Times New Roman" w:eastAsia="Calibri" w:hAnsi="Times New Roman" w:cs="Times New Roman"/>
          <w:b/>
          <w:sz w:val="24"/>
          <w:szCs w:val="24"/>
        </w:rPr>
        <w:t xml:space="preserve"> </w:t>
      </w:r>
    </w:p>
    <w:p w:rsidR="00A07AFD" w:rsidRPr="009242C8" w:rsidRDefault="00A07AFD" w:rsidP="00A07AFD">
      <w:pPr>
        <w:spacing w:after="0" w:line="360" w:lineRule="auto"/>
        <w:jc w:val="both"/>
        <w:rPr>
          <w:rFonts w:ascii="Times New Roman" w:eastAsia="Calibri" w:hAnsi="Times New Roman" w:cs="Times New Roman"/>
          <w:sz w:val="24"/>
          <w:szCs w:val="24"/>
        </w:rPr>
      </w:pPr>
      <w:r w:rsidRPr="009242C8">
        <w:rPr>
          <w:rFonts w:ascii="Times New Roman" w:eastAsia="Calibri" w:hAnsi="Times New Roman" w:cs="Times New Roman"/>
          <w:sz w:val="24"/>
          <w:szCs w:val="24"/>
        </w:rPr>
        <w:t>La base de sondage a été constituée suivant 2 catégories de lieux d’installation des commerçants : les premiers sont les zones d’habitations (les quartiers, D</w:t>
      </w:r>
      <w:r w:rsidR="00B82D9D">
        <w:rPr>
          <w:rFonts w:ascii="Times New Roman" w:eastAsia="Calibri" w:hAnsi="Times New Roman" w:cs="Times New Roman"/>
          <w:sz w:val="24"/>
          <w:szCs w:val="24"/>
        </w:rPr>
        <w:t xml:space="preserve">istricts de </w:t>
      </w:r>
      <w:r w:rsidRPr="009242C8">
        <w:rPr>
          <w:rFonts w:ascii="Times New Roman" w:eastAsia="Calibri" w:hAnsi="Times New Roman" w:cs="Times New Roman"/>
          <w:sz w:val="24"/>
          <w:szCs w:val="24"/>
        </w:rPr>
        <w:t>R</w:t>
      </w:r>
      <w:r w:rsidR="00B82D9D">
        <w:rPr>
          <w:rFonts w:ascii="Times New Roman" w:eastAsia="Calibri" w:hAnsi="Times New Roman" w:cs="Times New Roman"/>
          <w:sz w:val="24"/>
          <w:szCs w:val="24"/>
        </w:rPr>
        <w:t>ecensement ou DR). Les seconds sont les marchés</w:t>
      </w:r>
      <w:r>
        <w:rPr>
          <w:rFonts w:ascii="Times New Roman" w:eastAsia="Calibri" w:hAnsi="Times New Roman" w:cs="Times New Roman"/>
          <w:sz w:val="24"/>
          <w:szCs w:val="24"/>
        </w:rPr>
        <w:t xml:space="preserve">. </w:t>
      </w:r>
      <w:r w:rsidRPr="009242C8">
        <w:rPr>
          <w:rFonts w:ascii="Times New Roman" w:eastAsia="Calibri" w:hAnsi="Times New Roman" w:cs="Times New Roman"/>
          <w:sz w:val="24"/>
          <w:szCs w:val="24"/>
        </w:rPr>
        <w:t>Ce choix est justifié par le fait que les commerçants de céréales se trouvent aussi bien dans les quartiers que dans les marchés. Dans les deux cas, l’équipe a procédé à des recensements de commerçants, qu’ils soient détaillants ou grossistes.</w:t>
      </w:r>
    </w:p>
    <w:p w:rsidR="00A07AFD" w:rsidRPr="009242C8" w:rsidRDefault="00A07AFD" w:rsidP="00A07AFD">
      <w:pPr>
        <w:numPr>
          <w:ilvl w:val="0"/>
          <w:numId w:val="7"/>
        </w:numPr>
        <w:spacing w:before="120" w:after="120" w:line="360" w:lineRule="auto"/>
        <w:jc w:val="both"/>
        <w:rPr>
          <w:rFonts w:ascii="Times New Roman" w:eastAsia="Calibri" w:hAnsi="Times New Roman" w:cs="Times New Roman"/>
          <w:b/>
          <w:i/>
          <w:sz w:val="24"/>
          <w:szCs w:val="24"/>
        </w:rPr>
      </w:pPr>
      <w:r w:rsidRPr="009242C8">
        <w:rPr>
          <w:rFonts w:ascii="Times New Roman" w:eastAsia="Calibri" w:hAnsi="Times New Roman" w:cs="Times New Roman"/>
          <w:b/>
          <w:i/>
          <w:sz w:val="24"/>
          <w:szCs w:val="24"/>
        </w:rPr>
        <w:t>Recensement des commerçants des quartiers</w:t>
      </w:r>
    </w:p>
    <w:p w:rsidR="00A07AFD" w:rsidRPr="009242C8" w:rsidRDefault="00A07AFD" w:rsidP="00A07AF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Les </w:t>
      </w:r>
      <w:r w:rsidRPr="009242C8">
        <w:rPr>
          <w:rFonts w:ascii="Times New Roman" w:eastAsia="Calibri" w:hAnsi="Times New Roman" w:cs="Times New Roman"/>
          <w:sz w:val="24"/>
          <w:szCs w:val="24"/>
        </w:rPr>
        <w:t>DR échantillonnés au premier degré, ont été recens</w:t>
      </w:r>
      <w:r>
        <w:rPr>
          <w:rFonts w:ascii="Times New Roman" w:eastAsia="Calibri" w:hAnsi="Times New Roman" w:cs="Times New Roman"/>
          <w:sz w:val="24"/>
          <w:szCs w:val="24"/>
        </w:rPr>
        <w:t>és</w:t>
      </w:r>
      <w:r w:rsidRPr="009242C8">
        <w:rPr>
          <w:rFonts w:ascii="Times New Roman" w:eastAsia="Calibri" w:hAnsi="Times New Roman" w:cs="Times New Roman"/>
          <w:sz w:val="24"/>
          <w:szCs w:val="24"/>
        </w:rPr>
        <w:t xml:space="preserve"> en termes de commerçants pour constituer la base de sondage au niveau des zones d’habitatio</w:t>
      </w:r>
      <w:r>
        <w:rPr>
          <w:rFonts w:ascii="Times New Roman" w:eastAsia="Calibri" w:hAnsi="Times New Roman" w:cs="Times New Roman"/>
          <w:sz w:val="24"/>
          <w:szCs w:val="24"/>
        </w:rPr>
        <w:t>n</w:t>
      </w:r>
      <w:r w:rsidRPr="009242C8">
        <w:rPr>
          <w:rFonts w:ascii="Times New Roman" w:eastAsia="Calibri" w:hAnsi="Times New Roman" w:cs="Times New Roman"/>
          <w:sz w:val="24"/>
          <w:szCs w:val="24"/>
        </w:rPr>
        <w:t xml:space="preserve">.  Au total, 125 DR </w:t>
      </w:r>
      <w:r>
        <w:rPr>
          <w:rFonts w:ascii="Times New Roman" w:eastAsia="Calibri" w:hAnsi="Times New Roman" w:cs="Times New Roman"/>
          <w:sz w:val="24"/>
          <w:szCs w:val="24"/>
        </w:rPr>
        <w:t>ont</w:t>
      </w:r>
      <w:r w:rsidRPr="009242C8">
        <w:rPr>
          <w:rFonts w:ascii="Times New Roman" w:eastAsia="Calibri" w:hAnsi="Times New Roman" w:cs="Times New Roman"/>
          <w:sz w:val="24"/>
          <w:szCs w:val="24"/>
        </w:rPr>
        <w:t xml:space="preserve"> été tirés suivant le poids relatif des villes où 2182 commerçants ont été recensés.</w:t>
      </w:r>
    </w:p>
    <w:p w:rsidR="00A07AFD" w:rsidRPr="009242C8" w:rsidRDefault="00A07AFD" w:rsidP="00A07AFD">
      <w:pPr>
        <w:numPr>
          <w:ilvl w:val="0"/>
          <w:numId w:val="7"/>
        </w:numPr>
        <w:spacing w:before="120" w:after="120" w:line="360" w:lineRule="auto"/>
        <w:jc w:val="both"/>
        <w:rPr>
          <w:rFonts w:ascii="Times New Roman" w:eastAsia="Calibri" w:hAnsi="Times New Roman" w:cs="Times New Roman"/>
          <w:b/>
          <w:i/>
          <w:sz w:val="24"/>
          <w:szCs w:val="24"/>
        </w:rPr>
      </w:pPr>
      <w:r w:rsidRPr="009242C8">
        <w:rPr>
          <w:rFonts w:ascii="Times New Roman" w:eastAsia="Calibri" w:hAnsi="Times New Roman" w:cs="Times New Roman"/>
          <w:b/>
          <w:i/>
          <w:sz w:val="24"/>
          <w:szCs w:val="24"/>
        </w:rPr>
        <w:t>Recensement des commerçants dans les marchés</w:t>
      </w:r>
    </w:p>
    <w:p w:rsidR="00A07AFD" w:rsidRPr="009242C8" w:rsidRDefault="00A07AFD" w:rsidP="00A07AFD">
      <w:pPr>
        <w:spacing w:after="0" w:line="360" w:lineRule="auto"/>
        <w:jc w:val="both"/>
        <w:rPr>
          <w:rFonts w:ascii="Times New Roman" w:eastAsia="Calibri" w:hAnsi="Times New Roman" w:cs="Times New Roman"/>
          <w:sz w:val="24"/>
          <w:szCs w:val="24"/>
        </w:rPr>
      </w:pPr>
      <w:r w:rsidRPr="009242C8">
        <w:rPr>
          <w:rFonts w:ascii="Times New Roman" w:eastAsia="Calibri" w:hAnsi="Times New Roman" w:cs="Times New Roman"/>
          <w:sz w:val="24"/>
          <w:szCs w:val="24"/>
        </w:rPr>
        <w:t>Dans chaque grande ville, les marchés les plus importants ont été choisis. Dans ces marchés on trouve à la fois des détaillants et des grossistes. Au tot</w:t>
      </w:r>
      <w:r w:rsidR="00B82D9D">
        <w:rPr>
          <w:rFonts w:ascii="Times New Roman" w:eastAsia="Calibri" w:hAnsi="Times New Roman" w:cs="Times New Roman"/>
          <w:sz w:val="24"/>
          <w:szCs w:val="24"/>
        </w:rPr>
        <w:t>al, dans les 64 marchés choisis</w:t>
      </w:r>
      <w:r w:rsidRPr="009242C8">
        <w:rPr>
          <w:rFonts w:ascii="Times New Roman" w:eastAsia="Calibri" w:hAnsi="Times New Roman" w:cs="Times New Roman"/>
          <w:sz w:val="24"/>
          <w:szCs w:val="24"/>
        </w:rPr>
        <w:t>, 1509 commerçants ont été recensés.</w:t>
      </w:r>
    </w:p>
    <w:p w:rsidR="00A07AFD" w:rsidRPr="009242C8" w:rsidRDefault="00A07AFD" w:rsidP="00A07AFD">
      <w:pPr>
        <w:spacing w:after="0" w:line="360" w:lineRule="auto"/>
        <w:jc w:val="both"/>
        <w:rPr>
          <w:rFonts w:ascii="Times New Roman" w:eastAsia="Calibri" w:hAnsi="Times New Roman" w:cs="Times New Roman"/>
          <w:sz w:val="24"/>
          <w:szCs w:val="24"/>
        </w:rPr>
      </w:pPr>
      <w:r w:rsidRPr="009242C8">
        <w:rPr>
          <w:rFonts w:ascii="Times New Roman" w:eastAsia="Calibri" w:hAnsi="Times New Roman" w:cs="Times New Roman"/>
          <w:sz w:val="24"/>
          <w:szCs w:val="24"/>
        </w:rPr>
        <w:t>Ces différentes phases de recensement ont permis d’avoir une base de sondage de commerçants répartis dans des marchés et des quartiers.</w:t>
      </w:r>
    </w:p>
    <w:p w:rsidR="00A07AFD" w:rsidRPr="00AD47B8" w:rsidRDefault="00A07AFD" w:rsidP="00A07AFD">
      <w:pPr>
        <w:pStyle w:val="Paragraphedeliste"/>
        <w:numPr>
          <w:ilvl w:val="1"/>
          <w:numId w:val="8"/>
        </w:numPr>
        <w:spacing w:before="120" w:after="120" w:line="360" w:lineRule="auto"/>
        <w:jc w:val="both"/>
        <w:rPr>
          <w:rFonts w:ascii="Times New Roman" w:eastAsia="Calibri" w:hAnsi="Times New Roman" w:cs="Times New Roman"/>
          <w:b/>
          <w:sz w:val="24"/>
          <w:szCs w:val="24"/>
        </w:rPr>
      </w:pPr>
      <w:bookmarkStart w:id="13" w:name="_Toc530126859"/>
      <w:r w:rsidRPr="00AD47B8">
        <w:rPr>
          <w:rFonts w:ascii="Times New Roman" w:eastAsia="Calibri" w:hAnsi="Times New Roman" w:cs="Times New Roman"/>
          <w:b/>
          <w:sz w:val="24"/>
          <w:szCs w:val="24"/>
        </w:rPr>
        <w:t>Plan d’échantillonnage</w:t>
      </w:r>
      <w:bookmarkEnd w:id="13"/>
      <w:r w:rsidRPr="00AD47B8">
        <w:rPr>
          <w:rFonts w:ascii="Times New Roman" w:eastAsia="Calibri" w:hAnsi="Times New Roman" w:cs="Times New Roman"/>
          <w:b/>
          <w:sz w:val="24"/>
          <w:szCs w:val="24"/>
        </w:rPr>
        <w:t xml:space="preserve"> </w:t>
      </w:r>
    </w:p>
    <w:p w:rsidR="00A07AFD" w:rsidRPr="009242C8" w:rsidRDefault="00A07AFD" w:rsidP="00B82D9D">
      <w:pPr>
        <w:pStyle w:val="RapportPAPA"/>
      </w:pPr>
      <w:r w:rsidRPr="009242C8">
        <w:t xml:space="preserve">Après que les bases de sondage ont été constituées grâce aux recensements, un plan de sondage stratifié à deux niveaux a été adopté. Les critères de stratification sont les villes et les types d’acteurs (détaillants ou grossistes). Ces critères permettent de refléter la représentativité des différentes villes et des types de commerçants dans la population mère. Cette méthodologie permet aussi de garantir la présence dans l’échantillon, de tous les quartiers et marchés recensés. Enfin et surtout, il permet une auto-pondération de l’échantillon. </w:t>
      </w:r>
    </w:p>
    <w:p w:rsidR="00A07AFD" w:rsidRPr="009242C8" w:rsidRDefault="00A07AFD" w:rsidP="00B82D9D">
      <w:pPr>
        <w:pStyle w:val="RapportPAPA"/>
      </w:pPr>
      <w:r w:rsidRPr="009242C8">
        <w:lastRenderedPageBreak/>
        <w:t>Les enquêtes se sont déroulées entre fin mars et fin avril 2018. La base de données quantitativ</w:t>
      </w:r>
      <w:r>
        <w:t>es</w:t>
      </w:r>
      <w:r w:rsidRPr="009242C8">
        <w:t xml:space="preserve"> finale apurée comprend 676 observations. Ses caractéristiques principales sont présentées dans le </w:t>
      </w:r>
      <w:r w:rsidR="00D82DCB">
        <w:t>tableau 1</w:t>
      </w:r>
      <w:r w:rsidRPr="009242C8">
        <w:t>.</w:t>
      </w:r>
    </w:p>
    <w:p w:rsidR="00A07AFD" w:rsidRPr="00531EE9" w:rsidRDefault="00A07AFD" w:rsidP="00A07AFD">
      <w:pPr>
        <w:pStyle w:val="Lgende"/>
        <w:keepNext/>
      </w:pPr>
      <w:bookmarkStart w:id="14" w:name="_Toc3549367"/>
      <w:bookmarkStart w:id="15" w:name="_Toc34303298"/>
      <w:bookmarkStart w:id="16" w:name="_Toc1387348"/>
      <w:r w:rsidRPr="00531EE9">
        <w:rPr>
          <w:b/>
        </w:rPr>
        <w:t>Tableau</w:t>
      </w:r>
      <w:r w:rsidR="00DE0776">
        <w:rPr>
          <w:b/>
        </w:rPr>
        <w:t xml:space="preserve"> </w:t>
      </w:r>
      <w:r w:rsidR="007B63F8">
        <w:rPr>
          <w:b/>
        </w:rPr>
        <w:fldChar w:fldCharType="begin"/>
      </w:r>
      <w:r w:rsidR="007B63F8">
        <w:rPr>
          <w:b/>
        </w:rPr>
        <w:instrText xml:space="preserve"> SEQ Tableau \* ARABIC \s 1 </w:instrText>
      </w:r>
      <w:r w:rsidR="007B63F8">
        <w:rPr>
          <w:b/>
        </w:rPr>
        <w:fldChar w:fldCharType="separate"/>
      </w:r>
      <w:r w:rsidR="00900EA8">
        <w:rPr>
          <w:b/>
          <w:noProof/>
        </w:rPr>
        <w:t>1</w:t>
      </w:r>
      <w:r w:rsidR="007B63F8">
        <w:rPr>
          <w:b/>
        </w:rPr>
        <w:fldChar w:fldCharType="end"/>
      </w:r>
      <w:r w:rsidR="0089405F">
        <w:t> : Quelques éléments de l</w:t>
      </w:r>
      <w:r>
        <w:t>’échantillon des commerçants de céréales</w:t>
      </w:r>
      <w:bookmarkEnd w:id="14"/>
      <w:bookmarkEnd w:id="15"/>
      <w:r>
        <w:t xml:space="preserve"> </w:t>
      </w:r>
      <w:bookmarkEnd w:id="16"/>
    </w:p>
    <w:tbl>
      <w:tblPr>
        <w:tblStyle w:val="TableauListe2-Accentuation6"/>
        <w:tblW w:w="0" w:type="auto"/>
        <w:tblLook w:val="04A0" w:firstRow="1" w:lastRow="0" w:firstColumn="1" w:lastColumn="0" w:noHBand="0" w:noVBand="1"/>
      </w:tblPr>
      <w:tblGrid>
        <w:gridCol w:w="6460"/>
        <w:gridCol w:w="2590"/>
      </w:tblGrid>
      <w:tr w:rsidR="00A07AFD" w:rsidRPr="009242C8" w:rsidTr="00A3490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60" w:type="dxa"/>
            <w:noWrap/>
            <w:hideMark/>
          </w:tcPr>
          <w:p w:rsidR="00A07AFD" w:rsidRPr="009242C8" w:rsidRDefault="00A07AFD" w:rsidP="00A3490D">
            <w:pPr>
              <w:rPr>
                <w:rFonts w:ascii="Times New Roman" w:eastAsia="Calibri" w:hAnsi="Times New Roman" w:cs="Times New Roman"/>
                <w:sz w:val="24"/>
                <w:szCs w:val="24"/>
              </w:rPr>
            </w:pPr>
            <w:r w:rsidRPr="009242C8">
              <w:rPr>
                <w:rFonts w:ascii="Times New Roman" w:eastAsia="Calibri" w:hAnsi="Times New Roman" w:cs="Times New Roman"/>
                <w:sz w:val="24"/>
                <w:szCs w:val="24"/>
              </w:rPr>
              <w:t>Nombre d'observations</w:t>
            </w:r>
          </w:p>
        </w:tc>
        <w:tc>
          <w:tcPr>
            <w:tcW w:w="2590" w:type="dxa"/>
            <w:noWrap/>
            <w:hideMark/>
          </w:tcPr>
          <w:p w:rsidR="00A07AFD" w:rsidRPr="003D119C" w:rsidRDefault="00A07AFD" w:rsidP="00A3490D">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sz w:val="24"/>
                <w:szCs w:val="24"/>
              </w:rPr>
            </w:pPr>
            <w:r w:rsidRPr="000E2CA4">
              <w:rPr>
                <w:rFonts w:ascii="Times New Roman" w:eastAsia="Calibri" w:hAnsi="Times New Roman" w:cs="Times New Roman"/>
                <w:color w:val="000000" w:themeColor="text1"/>
                <w:sz w:val="24"/>
                <w:szCs w:val="24"/>
              </w:rPr>
              <w:t>669</w:t>
            </w:r>
          </w:p>
        </w:tc>
      </w:tr>
      <w:tr w:rsidR="00A07AFD" w:rsidRPr="009242C8" w:rsidTr="00A349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60" w:type="dxa"/>
            <w:noWrap/>
            <w:hideMark/>
          </w:tcPr>
          <w:p w:rsidR="00A07AFD" w:rsidRPr="000E2CA4" w:rsidRDefault="00A07AFD" w:rsidP="00A3490D">
            <w:pPr>
              <w:rPr>
                <w:rFonts w:ascii="Times New Roman" w:eastAsia="Calibri" w:hAnsi="Times New Roman" w:cs="Times New Roman"/>
                <w:sz w:val="24"/>
                <w:szCs w:val="24"/>
              </w:rPr>
            </w:pPr>
            <w:r w:rsidRPr="000E2CA4">
              <w:rPr>
                <w:rFonts w:ascii="Times New Roman" w:eastAsia="Calibri" w:hAnsi="Times New Roman" w:cs="Times New Roman"/>
                <w:sz w:val="24"/>
                <w:szCs w:val="24"/>
              </w:rPr>
              <w:t>Nombre de variables</w:t>
            </w:r>
          </w:p>
        </w:tc>
        <w:tc>
          <w:tcPr>
            <w:tcW w:w="2590" w:type="dxa"/>
            <w:noWrap/>
            <w:hideMark/>
          </w:tcPr>
          <w:p w:rsidR="00A07AFD" w:rsidRPr="000E2CA4" w:rsidRDefault="00A07AFD" w:rsidP="00A349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E2CA4">
              <w:rPr>
                <w:rFonts w:ascii="Times New Roman" w:eastAsia="Calibri" w:hAnsi="Times New Roman" w:cs="Times New Roman"/>
                <w:sz w:val="24"/>
                <w:szCs w:val="24"/>
              </w:rPr>
              <w:t>515</w:t>
            </w:r>
          </w:p>
        </w:tc>
      </w:tr>
      <w:tr w:rsidR="00A07AFD" w:rsidRPr="009242C8" w:rsidTr="00A3490D">
        <w:trPr>
          <w:trHeight w:val="288"/>
        </w:trPr>
        <w:tc>
          <w:tcPr>
            <w:cnfStyle w:val="001000000000" w:firstRow="0" w:lastRow="0" w:firstColumn="1" w:lastColumn="0" w:oddVBand="0" w:evenVBand="0" w:oddHBand="0" w:evenHBand="0" w:firstRowFirstColumn="0" w:firstRowLastColumn="0" w:lastRowFirstColumn="0" w:lastRowLastColumn="0"/>
            <w:tcW w:w="6460" w:type="dxa"/>
            <w:noWrap/>
            <w:hideMark/>
          </w:tcPr>
          <w:p w:rsidR="00A07AFD" w:rsidRPr="009242C8" w:rsidRDefault="00A07AFD" w:rsidP="00A3490D">
            <w:pPr>
              <w:rPr>
                <w:rFonts w:ascii="Times New Roman" w:eastAsia="Calibri" w:hAnsi="Times New Roman" w:cs="Times New Roman"/>
                <w:sz w:val="24"/>
                <w:szCs w:val="24"/>
              </w:rPr>
            </w:pPr>
            <w:r w:rsidRPr="009242C8">
              <w:rPr>
                <w:rFonts w:ascii="Times New Roman" w:eastAsia="Calibri" w:hAnsi="Times New Roman" w:cs="Times New Roman"/>
                <w:sz w:val="24"/>
                <w:szCs w:val="24"/>
              </w:rPr>
              <w:t>Nombre de grossistes</w:t>
            </w:r>
          </w:p>
        </w:tc>
        <w:tc>
          <w:tcPr>
            <w:tcW w:w="2590" w:type="dxa"/>
            <w:noWrap/>
            <w:hideMark/>
          </w:tcPr>
          <w:p w:rsidR="00A07AFD" w:rsidRPr="009242C8" w:rsidRDefault="00A07AFD" w:rsidP="00A349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242C8">
              <w:rPr>
                <w:rFonts w:ascii="Times New Roman" w:eastAsia="Calibri" w:hAnsi="Times New Roman" w:cs="Times New Roman"/>
                <w:sz w:val="24"/>
                <w:szCs w:val="24"/>
              </w:rPr>
              <w:t>87</w:t>
            </w:r>
          </w:p>
        </w:tc>
      </w:tr>
      <w:tr w:rsidR="00A07AFD" w:rsidRPr="009242C8" w:rsidTr="00A349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60" w:type="dxa"/>
            <w:noWrap/>
            <w:hideMark/>
          </w:tcPr>
          <w:p w:rsidR="00A07AFD" w:rsidRPr="009242C8" w:rsidRDefault="00A07AFD" w:rsidP="00A3490D">
            <w:pPr>
              <w:rPr>
                <w:rFonts w:ascii="Times New Roman" w:eastAsia="Calibri" w:hAnsi="Times New Roman" w:cs="Times New Roman"/>
                <w:sz w:val="24"/>
                <w:szCs w:val="24"/>
              </w:rPr>
            </w:pPr>
            <w:r w:rsidRPr="009242C8">
              <w:rPr>
                <w:rFonts w:ascii="Times New Roman" w:eastAsia="Calibri" w:hAnsi="Times New Roman" w:cs="Times New Roman"/>
                <w:sz w:val="24"/>
                <w:szCs w:val="24"/>
              </w:rPr>
              <w:t>Nombre de détaillants</w:t>
            </w:r>
          </w:p>
        </w:tc>
        <w:tc>
          <w:tcPr>
            <w:tcW w:w="2590" w:type="dxa"/>
            <w:noWrap/>
            <w:hideMark/>
          </w:tcPr>
          <w:p w:rsidR="00A07AFD" w:rsidRPr="009242C8" w:rsidRDefault="00A07AFD" w:rsidP="00A349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0E2CA4">
              <w:rPr>
                <w:rFonts w:ascii="Times New Roman" w:eastAsia="Calibri" w:hAnsi="Times New Roman" w:cs="Times New Roman"/>
                <w:color w:val="000000" w:themeColor="text1"/>
                <w:sz w:val="24"/>
                <w:szCs w:val="24"/>
              </w:rPr>
              <w:t>582</w:t>
            </w:r>
          </w:p>
        </w:tc>
      </w:tr>
    </w:tbl>
    <w:p w:rsidR="00D82DCB" w:rsidRPr="00D82DCB" w:rsidRDefault="00D82DCB" w:rsidP="00A07AFD">
      <w:pPr>
        <w:spacing w:after="0" w:line="240" w:lineRule="auto"/>
        <w:rPr>
          <w:rFonts w:ascii="Times New Roman" w:eastAsia="Calibri" w:hAnsi="Times New Roman" w:cs="Times New Roman"/>
        </w:rPr>
      </w:pPr>
      <w:r>
        <w:rPr>
          <w:rFonts w:ascii="Times New Roman" w:eastAsia="Calibri" w:hAnsi="Times New Roman" w:cs="Times New Roman"/>
        </w:rPr>
        <w:t>Source : Données</w:t>
      </w:r>
      <w:r w:rsidR="00A07AFD" w:rsidRPr="00D82DCB">
        <w:rPr>
          <w:rFonts w:ascii="Times New Roman" w:eastAsia="Calibri" w:hAnsi="Times New Roman" w:cs="Times New Roman"/>
        </w:rPr>
        <w:t xml:space="preserve"> PAPA, 2018</w:t>
      </w:r>
    </w:p>
    <w:p w:rsidR="005B594A" w:rsidRPr="00D82DCB" w:rsidRDefault="00D82DCB" w:rsidP="00D82DCB">
      <w:pPr>
        <w:pStyle w:val="Titre1"/>
        <w:numPr>
          <w:ilvl w:val="0"/>
          <w:numId w:val="0"/>
        </w:numPr>
      </w:pPr>
      <w:bookmarkStart w:id="17" w:name="_Toc34303395"/>
      <w:r w:rsidRPr="00D82DCB">
        <w:t>III</w:t>
      </w:r>
      <w:r w:rsidR="0044635E" w:rsidRPr="00D82DCB">
        <w:t>. </w:t>
      </w:r>
      <w:r w:rsidR="005B594A" w:rsidRPr="00D82DCB">
        <w:t>Structure</w:t>
      </w:r>
      <w:r w:rsidR="00225D9A" w:rsidRPr="00D82DCB">
        <w:t xml:space="preserve"> du commerce de détail</w:t>
      </w:r>
      <w:bookmarkEnd w:id="17"/>
    </w:p>
    <w:p w:rsidR="00D82DCB" w:rsidRDefault="006D1426" w:rsidP="00D82DCB">
      <w:pPr>
        <w:spacing w:before="120" w:after="120" w:line="360" w:lineRule="auto"/>
        <w:jc w:val="both"/>
        <w:rPr>
          <w:rFonts w:ascii="Times New Roman" w:hAnsi="Times New Roman"/>
          <w:sz w:val="24"/>
        </w:rPr>
      </w:pPr>
      <w:r w:rsidRPr="006D1426">
        <w:rPr>
          <w:rFonts w:ascii="Times New Roman" w:hAnsi="Times New Roman"/>
          <w:sz w:val="24"/>
        </w:rPr>
        <w:t>Les propriétaires des entreprises de commerce de détail des céréales sont majoritairemen</w:t>
      </w:r>
      <w:r w:rsidR="00D82DCB">
        <w:rPr>
          <w:rFonts w:ascii="Times New Roman" w:hAnsi="Times New Roman"/>
          <w:sz w:val="24"/>
        </w:rPr>
        <w:t>t des hommes, représentant 91</w:t>
      </w:r>
      <w:r w:rsidRPr="006D1426">
        <w:rPr>
          <w:rFonts w:ascii="Times New Roman" w:hAnsi="Times New Roman"/>
          <w:sz w:val="24"/>
        </w:rPr>
        <w:t>% du total des observations (</w:t>
      </w:r>
      <w:r>
        <w:rPr>
          <w:rFonts w:ascii="Times New Roman" w:hAnsi="Times New Roman"/>
          <w:sz w:val="24"/>
        </w:rPr>
        <w:t>tableau 2</w:t>
      </w:r>
      <w:r w:rsidR="00D82DCB">
        <w:rPr>
          <w:rFonts w:ascii="Times New Roman" w:hAnsi="Times New Roman"/>
          <w:sz w:val="24"/>
        </w:rPr>
        <w:t>)</w:t>
      </w:r>
      <w:r w:rsidRPr="006D1426">
        <w:rPr>
          <w:rFonts w:ascii="Times New Roman" w:hAnsi="Times New Roman"/>
          <w:sz w:val="24"/>
        </w:rPr>
        <w:t xml:space="preserve">. Les chefs d’entreprises sont relativement jeunes et la majorité ne sait ni lire ni écrire dans une langue. </w:t>
      </w:r>
    </w:p>
    <w:p w:rsidR="00D82DCB" w:rsidRDefault="00D82DCB" w:rsidP="00D82DCB">
      <w:pPr>
        <w:pStyle w:val="Lgende"/>
        <w:keepNext/>
      </w:pPr>
      <w:bookmarkStart w:id="18" w:name="_Toc34303299"/>
      <w:r w:rsidRPr="00D82DCB">
        <w:rPr>
          <w:b/>
        </w:rPr>
        <w:t xml:space="preserve">Tableau </w:t>
      </w:r>
      <w:r w:rsidRPr="00D82DCB">
        <w:rPr>
          <w:b/>
        </w:rPr>
        <w:fldChar w:fldCharType="begin"/>
      </w:r>
      <w:r w:rsidRPr="00D82DCB">
        <w:rPr>
          <w:b/>
        </w:rPr>
        <w:instrText xml:space="preserve"> SEQ Tableau \* ARABIC </w:instrText>
      </w:r>
      <w:r w:rsidRPr="00D82DCB">
        <w:rPr>
          <w:b/>
        </w:rPr>
        <w:fldChar w:fldCharType="separate"/>
      </w:r>
      <w:r w:rsidR="00900EA8">
        <w:rPr>
          <w:b/>
          <w:noProof/>
        </w:rPr>
        <w:t>2</w:t>
      </w:r>
      <w:r w:rsidRPr="00D82DCB">
        <w:rPr>
          <w:b/>
        </w:rPr>
        <w:fldChar w:fldCharType="end"/>
      </w:r>
      <w:r>
        <w:t> : Quelques caractéristique des détaillants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2"/>
        <w:gridCol w:w="2260"/>
      </w:tblGrid>
      <w:tr w:rsidR="006D1426" w:rsidRPr="006D1426" w:rsidTr="006D1426">
        <w:trPr>
          <w:trHeight w:val="315"/>
        </w:trPr>
        <w:tc>
          <w:tcPr>
            <w:tcW w:w="3753" w:type="pct"/>
            <w:shd w:val="clear" w:color="auto" w:fill="auto"/>
            <w:vAlign w:val="center"/>
          </w:tcPr>
          <w:p w:rsidR="006D1426" w:rsidRPr="006D1426" w:rsidRDefault="006D1426" w:rsidP="006D1426">
            <w:pPr>
              <w:spacing w:after="0" w:line="240" w:lineRule="auto"/>
              <w:rPr>
                <w:rFonts w:ascii="Times New Roman" w:eastAsia="Times New Roman" w:hAnsi="Times New Roman"/>
                <w:b/>
                <w:color w:val="000000"/>
                <w:sz w:val="24"/>
                <w:szCs w:val="24"/>
                <w:lang w:eastAsia="fr-FR"/>
              </w:rPr>
            </w:pPr>
            <w:r w:rsidRPr="006D1426">
              <w:rPr>
                <w:rFonts w:ascii="Times New Roman" w:eastAsia="Times New Roman" w:hAnsi="Times New Roman"/>
                <w:b/>
                <w:color w:val="000000"/>
                <w:sz w:val="24"/>
                <w:szCs w:val="24"/>
                <w:lang w:eastAsia="fr-FR"/>
              </w:rPr>
              <w:t>Caractéristiques</w:t>
            </w:r>
          </w:p>
        </w:tc>
        <w:tc>
          <w:tcPr>
            <w:tcW w:w="1247" w:type="pct"/>
            <w:shd w:val="clear" w:color="auto" w:fill="auto"/>
            <w:vAlign w:val="center"/>
          </w:tcPr>
          <w:p w:rsidR="006D1426" w:rsidRPr="006D1426" w:rsidRDefault="006D1426" w:rsidP="006D1426">
            <w:pPr>
              <w:spacing w:after="0" w:line="240" w:lineRule="auto"/>
              <w:rPr>
                <w:rFonts w:ascii="Times New Roman" w:eastAsia="Times New Roman" w:hAnsi="Times New Roman"/>
                <w:b/>
                <w:color w:val="000000"/>
                <w:sz w:val="24"/>
                <w:szCs w:val="24"/>
                <w:lang w:eastAsia="fr-FR"/>
              </w:rPr>
            </w:pPr>
            <w:r w:rsidRPr="006D1426">
              <w:rPr>
                <w:rFonts w:ascii="Times New Roman" w:eastAsia="Times New Roman" w:hAnsi="Times New Roman"/>
                <w:b/>
                <w:color w:val="000000"/>
                <w:sz w:val="24"/>
                <w:szCs w:val="24"/>
                <w:lang w:eastAsia="fr-FR"/>
              </w:rPr>
              <w:t>Proportion/moyenne</w:t>
            </w:r>
          </w:p>
        </w:tc>
      </w:tr>
      <w:tr w:rsidR="006D1426" w:rsidRPr="006D1426" w:rsidTr="006D1426">
        <w:trPr>
          <w:trHeight w:val="315"/>
        </w:trPr>
        <w:tc>
          <w:tcPr>
            <w:tcW w:w="3753" w:type="pct"/>
            <w:shd w:val="clear" w:color="auto" w:fill="auto"/>
            <w:vAlign w:val="center"/>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Genre (% hommes)</w:t>
            </w:r>
          </w:p>
        </w:tc>
        <w:tc>
          <w:tcPr>
            <w:tcW w:w="1247" w:type="pct"/>
            <w:shd w:val="clear" w:color="auto" w:fill="auto"/>
            <w:vAlign w:val="center"/>
          </w:tcPr>
          <w:p w:rsidR="006D1426" w:rsidRPr="006D1426" w:rsidRDefault="00D82DCB" w:rsidP="006D1426">
            <w:pPr>
              <w:spacing w:after="0" w:line="240" w:lineRule="auto"/>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91</w:t>
            </w:r>
          </w:p>
        </w:tc>
      </w:tr>
      <w:tr w:rsidR="006D1426" w:rsidRPr="006D1426" w:rsidTr="006D1426">
        <w:trPr>
          <w:trHeight w:val="315"/>
        </w:trPr>
        <w:tc>
          <w:tcPr>
            <w:tcW w:w="3753" w:type="pct"/>
            <w:shd w:val="clear" w:color="auto" w:fill="auto"/>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Age moyen (années)</w:t>
            </w:r>
          </w:p>
        </w:tc>
        <w:tc>
          <w:tcPr>
            <w:tcW w:w="1247" w:type="pct"/>
            <w:shd w:val="clear" w:color="auto" w:fill="auto"/>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36</w:t>
            </w:r>
          </w:p>
        </w:tc>
      </w:tr>
      <w:tr w:rsidR="006D1426" w:rsidRPr="006D1426" w:rsidTr="006D1426">
        <w:trPr>
          <w:trHeight w:val="315"/>
        </w:trPr>
        <w:tc>
          <w:tcPr>
            <w:tcW w:w="3753" w:type="pct"/>
            <w:shd w:val="clear" w:color="auto" w:fill="auto"/>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Alphabétisation (%)</w:t>
            </w:r>
          </w:p>
        </w:tc>
        <w:tc>
          <w:tcPr>
            <w:tcW w:w="1247" w:type="pct"/>
            <w:shd w:val="clear" w:color="auto" w:fill="auto"/>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p>
        </w:tc>
      </w:tr>
      <w:tr w:rsidR="006D1426" w:rsidRPr="006D1426" w:rsidTr="006D1426">
        <w:trPr>
          <w:trHeight w:val="315"/>
        </w:trPr>
        <w:tc>
          <w:tcPr>
            <w:tcW w:w="3753" w:type="pct"/>
            <w:shd w:val="clear" w:color="auto" w:fill="auto"/>
            <w:vAlign w:val="center"/>
            <w:hideMark/>
          </w:tcPr>
          <w:p w:rsidR="006D1426" w:rsidRPr="006D1426" w:rsidRDefault="006D1426" w:rsidP="006D1426">
            <w:pPr>
              <w:spacing w:after="0" w:line="240" w:lineRule="auto"/>
              <w:ind w:firstLineChars="200" w:firstLine="48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Sans niveau</w:t>
            </w:r>
          </w:p>
        </w:tc>
        <w:tc>
          <w:tcPr>
            <w:tcW w:w="1247" w:type="pct"/>
            <w:shd w:val="clear" w:color="auto" w:fill="auto"/>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48</w:t>
            </w:r>
          </w:p>
        </w:tc>
      </w:tr>
      <w:tr w:rsidR="006D1426" w:rsidRPr="006D1426" w:rsidTr="006D1426">
        <w:trPr>
          <w:trHeight w:val="315"/>
        </w:trPr>
        <w:tc>
          <w:tcPr>
            <w:tcW w:w="3753" w:type="pct"/>
            <w:shd w:val="clear" w:color="auto" w:fill="auto"/>
            <w:vAlign w:val="center"/>
            <w:hideMark/>
          </w:tcPr>
          <w:p w:rsidR="006D1426" w:rsidRPr="006D1426" w:rsidRDefault="006D1426" w:rsidP="006D1426">
            <w:pPr>
              <w:spacing w:after="0" w:line="240" w:lineRule="auto"/>
              <w:ind w:firstLineChars="200" w:firstLine="48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Sait lire dans une langue</w:t>
            </w:r>
          </w:p>
        </w:tc>
        <w:tc>
          <w:tcPr>
            <w:tcW w:w="1247" w:type="pct"/>
            <w:shd w:val="clear" w:color="auto" w:fill="auto"/>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13</w:t>
            </w:r>
          </w:p>
        </w:tc>
      </w:tr>
      <w:tr w:rsidR="006D1426" w:rsidRPr="006D1426" w:rsidTr="006D1426">
        <w:trPr>
          <w:trHeight w:val="330"/>
        </w:trPr>
        <w:tc>
          <w:tcPr>
            <w:tcW w:w="3753" w:type="pct"/>
            <w:shd w:val="clear" w:color="auto" w:fill="auto"/>
            <w:vAlign w:val="center"/>
            <w:hideMark/>
          </w:tcPr>
          <w:p w:rsidR="006D1426" w:rsidRPr="006D1426" w:rsidRDefault="006D1426" w:rsidP="006D1426">
            <w:pPr>
              <w:spacing w:after="0" w:line="240" w:lineRule="auto"/>
              <w:ind w:firstLineChars="200" w:firstLine="48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Sait lire et écrire dans une langue</w:t>
            </w:r>
          </w:p>
        </w:tc>
        <w:tc>
          <w:tcPr>
            <w:tcW w:w="1247" w:type="pct"/>
            <w:shd w:val="clear" w:color="auto" w:fill="auto"/>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39</w:t>
            </w:r>
          </w:p>
        </w:tc>
      </w:tr>
    </w:tbl>
    <w:p w:rsidR="006D1426" w:rsidRPr="006D1426" w:rsidRDefault="006D1426" w:rsidP="006D1426">
      <w:pPr>
        <w:spacing w:after="0" w:line="360" w:lineRule="auto"/>
        <w:contextualSpacing/>
        <w:jc w:val="both"/>
        <w:rPr>
          <w:rFonts w:ascii="Times New Roman" w:hAnsi="Times New Roman"/>
        </w:rPr>
      </w:pPr>
      <w:r w:rsidRPr="006D1426">
        <w:rPr>
          <w:rFonts w:ascii="Times New Roman" w:hAnsi="Times New Roman"/>
        </w:rPr>
        <w:t>Source : Données PAPA, 2018.</w:t>
      </w:r>
    </w:p>
    <w:p w:rsidR="006D1426" w:rsidRPr="006D1426" w:rsidRDefault="006D1426" w:rsidP="006D1426">
      <w:pPr>
        <w:spacing w:after="0" w:line="360" w:lineRule="auto"/>
        <w:contextualSpacing/>
        <w:jc w:val="both"/>
        <w:rPr>
          <w:rFonts w:ascii="Times New Roman" w:hAnsi="Times New Roman"/>
          <w:sz w:val="24"/>
          <w:szCs w:val="24"/>
        </w:rPr>
      </w:pPr>
      <w:r w:rsidRPr="006D1426">
        <w:rPr>
          <w:rFonts w:ascii="Times New Roman" w:hAnsi="Times New Roman"/>
          <w:sz w:val="24"/>
          <w:szCs w:val="24"/>
        </w:rPr>
        <w:t>Le niveau d’éducation des chefs d’entreprise est faible, que ça soit en français ou en arabe. En effet 84% d’entre eux ont un niveau d’éducation en français inférieur ou éga</w:t>
      </w:r>
      <w:r w:rsidR="00793BBD">
        <w:rPr>
          <w:rFonts w:ascii="Times New Roman" w:hAnsi="Times New Roman"/>
          <w:sz w:val="24"/>
          <w:szCs w:val="24"/>
        </w:rPr>
        <w:t>l à celui du primaire (tableau 3</w:t>
      </w:r>
      <w:r w:rsidRPr="006D1426">
        <w:rPr>
          <w:rFonts w:ascii="Times New Roman" w:hAnsi="Times New Roman"/>
          <w:sz w:val="24"/>
          <w:szCs w:val="24"/>
        </w:rPr>
        <w:t>). Pour l’arabe, ce taux est de 83%. Toujours pour l’éducation en français, le master est le niveau le plus élevé (1% des observations) alors que c’est la licence l’est pour l’enseignement arabe (1% des observations). Les données montrent ainsi que le commerce de détail des céréales est caractérisé par un niveau de qualification faible des chefs d’entreprises.</w:t>
      </w:r>
    </w:p>
    <w:p w:rsidR="00793BBD" w:rsidRDefault="00793BBD" w:rsidP="00793BBD">
      <w:pPr>
        <w:pStyle w:val="Lgende"/>
        <w:keepNext/>
      </w:pPr>
      <w:bookmarkStart w:id="19" w:name="_Toc34303300"/>
      <w:r w:rsidRPr="00793BBD">
        <w:rPr>
          <w:b/>
        </w:rPr>
        <w:t xml:space="preserve">Tableau </w:t>
      </w:r>
      <w:r w:rsidRPr="00793BBD">
        <w:rPr>
          <w:b/>
        </w:rPr>
        <w:fldChar w:fldCharType="begin"/>
      </w:r>
      <w:r w:rsidRPr="00793BBD">
        <w:rPr>
          <w:b/>
        </w:rPr>
        <w:instrText xml:space="preserve"> SEQ Tableau \* ARABIC </w:instrText>
      </w:r>
      <w:r w:rsidRPr="00793BBD">
        <w:rPr>
          <w:b/>
        </w:rPr>
        <w:fldChar w:fldCharType="separate"/>
      </w:r>
      <w:r w:rsidR="00900EA8">
        <w:rPr>
          <w:b/>
          <w:noProof/>
        </w:rPr>
        <w:t>3</w:t>
      </w:r>
      <w:r w:rsidRPr="00793BBD">
        <w:rPr>
          <w:b/>
        </w:rPr>
        <w:fldChar w:fldCharType="end"/>
      </w:r>
      <w:r>
        <w:t>:</w:t>
      </w:r>
      <w:r w:rsidRPr="00793BBD">
        <w:rPr>
          <w:szCs w:val="24"/>
        </w:rPr>
        <w:t xml:space="preserve"> </w:t>
      </w:r>
      <w:r w:rsidRPr="006D1426">
        <w:rPr>
          <w:szCs w:val="24"/>
        </w:rPr>
        <w:t>Niveau d'éducation des chefs d'entreprise</w:t>
      </w:r>
      <w:bookmarkEnd w:id="19"/>
    </w:p>
    <w:tbl>
      <w:tblPr>
        <w:tblpPr w:leftFromText="141" w:rightFromText="141" w:vertAnchor="text" w:horzAnchor="margin" w:tblpX="137" w:tblpY="167"/>
        <w:tblW w:w="5000" w:type="pct"/>
        <w:tblCellMar>
          <w:left w:w="70" w:type="dxa"/>
          <w:right w:w="70" w:type="dxa"/>
        </w:tblCellMar>
        <w:tblLook w:val="04A0" w:firstRow="1" w:lastRow="0" w:firstColumn="1" w:lastColumn="0" w:noHBand="0" w:noVBand="1"/>
      </w:tblPr>
      <w:tblGrid>
        <w:gridCol w:w="6923"/>
        <w:gridCol w:w="2139"/>
      </w:tblGrid>
      <w:tr w:rsidR="006D1426" w:rsidRPr="006D1426" w:rsidTr="006D1426">
        <w:trPr>
          <w:trHeight w:val="834"/>
        </w:trPr>
        <w:tc>
          <w:tcPr>
            <w:tcW w:w="3820"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 xml:space="preserve">Caractéristiques </w:t>
            </w:r>
          </w:p>
        </w:tc>
        <w:tc>
          <w:tcPr>
            <w:tcW w:w="1180" w:type="pct"/>
            <w:tcBorders>
              <w:top w:val="single" w:sz="4" w:space="0" w:color="auto"/>
              <w:left w:val="nil"/>
              <w:bottom w:val="single" w:sz="4" w:space="0" w:color="auto"/>
              <w:right w:val="single" w:sz="4" w:space="0" w:color="auto"/>
            </w:tcBorders>
            <w:shd w:val="clear" w:color="000000" w:fill="C6E0B4"/>
            <w:vAlign w:val="center"/>
            <w:hideMark/>
          </w:tcPr>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 xml:space="preserve">Détaillants </w:t>
            </w:r>
          </w:p>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(n=582)</w:t>
            </w:r>
          </w:p>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Niveau d'éducation en français (% détaillants)</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left="495"/>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xml:space="preserve">Aucun niveau d'éducation </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58</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firstLineChars="200" w:firstLine="48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Primaire</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26</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firstLineChars="200" w:firstLine="48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Moyen</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8</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firstLineChars="200" w:firstLine="48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Secondaire</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6</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firstLineChars="200" w:firstLine="48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lastRenderedPageBreak/>
              <w:t>Licence</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firstLineChars="200" w:firstLine="48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xml:space="preserve">Master </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firstLineChars="200" w:firstLine="48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Doctorat</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0</w:t>
            </w:r>
          </w:p>
        </w:tc>
      </w:tr>
      <w:tr w:rsidR="006D1426" w:rsidRPr="006D1426" w:rsidTr="006D1426">
        <w:trPr>
          <w:trHeight w:val="291"/>
        </w:trPr>
        <w:tc>
          <w:tcPr>
            <w:tcW w:w="3820"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6D1426" w:rsidRPr="006D1426" w:rsidRDefault="006D1426" w:rsidP="006D1426">
            <w:pPr>
              <w:spacing w:after="0" w:line="240" w:lineRule="auto"/>
              <w:rPr>
                <w:rFonts w:ascii="Times New Roman" w:eastAsia="Times New Roman" w:hAnsi="Times New Roman"/>
                <w:b/>
                <w:color w:val="000000"/>
                <w:sz w:val="24"/>
                <w:szCs w:val="24"/>
                <w:lang w:eastAsia="fr-FR"/>
              </w:rPr>
            </w:pPr>
            <w:r w:rsidRPr="006D1426">
              <w:rPr>
                <w:rFonts w:ascii="Times New Roman" w:eastAsia="Times New Roman" w:hAnsi="Times New Roman"/>
                <w:b/>
                <w:color w:val="000000"/>
                <w:sz w:val="24"/>
                <w:szCs w:val="24"/>
                <w:lang w:eastAsia="fr-FR"/>
              </w:rPr>
              <w:t>Niveau d'instruction en arabe (% de détaillants)</w:t>
            </w:r>
          </w:p>
        </w:tc>
        <w:tc>
          <w:tcPr>
            <w:tcW w:w="1180" w:type="pct"/>
            <w:tcBorders>
              <w:top w:val="single" w:sz="4" w:space="0" w:color="auto"/>
              <w:left w:val="nil"/>
              <w:bottom w:val="single" w:sz="8" w:space="0" w:color="auto"/>
              <w:right w:val="single" w:sz="4" w:space="0" w:color="auto"/>
            </w:tcBorders>
            <w:shd w:val="clear" w:color="auto" w:fill="auto"/>
            <w:vAlign w:val="center"/>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p>
        </w:tc>
      </w:tr>
      <w:tr w:rsidR="006D1426" w:rsidRPr="006D1426" w:rsidTr="006D1426">
        <w:trPr>
          <w:trHeight w:val="291"/>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left="354"/>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Aucun niveau</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59</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left="354"/>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Primaire</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24</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left="354"/>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xml:space="preserve">Moyen </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13</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left="354"/>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Secondaire</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3</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left="354"/>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Licence</w:t>
            </w:r>
          </w:p>
        </w:tc>
        <w:tc>
          <w:tcPr>
            <w:tcW w:w="1180" w:type="pct"/>
            <w:tcBorders>
              <w:top w:val="nil"/>
              <w:left w:val="nil"/>
              <w:bottom w:val="nil"/>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left="354"/>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xml:space="preserve">Master </w:t>
            </w:r>
          </w:p>
        </w:tc>
        <w:tc>
          <w:tcPr>
            <w:tcW w:w="1180" w:type="pct"/>
            <w:tcBorders>
              <w:top w:val="single" w:sz="4" w:space="0" w:color="auto"/>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0</w:t>
            </w:r>
          </w:p>
        </w:tc>
      </w:tr>
      <w:tr w:rsidR="006D1426" w:rsidRPr="006D1426" w:rsidTr="006D1426">
        <w:trPr>
          <w:trHeight w:val="278"/>
        </w:trPr>
        <w:tc>
          <w:tcPr>
            <w:tcW w:w="3820" w:type="pct"/>
            <w:tcBorders>
              <w:top w:val="nil"/>
              <w:left w:val="single" w:sz="4" w:space="0" w:color="auto"/>
              <w:bottom w:val="single" w:sz="4" w:space="0" w:color="auto"/>
              <w:right w:val="single" w:sz="4" w:space="0" w:color="auto"/>
            </w:tcBorders>
            <w:shd w:val="clear" w:color="auto" w:fill="auto"/>
            <w:vAlign w:val="center"/>
            <w:hideMark/>
          </w:tcPr>
          <w:p w:rsidR="006D1426" w:rsidRPr="006D1426" w:rsidRDefault="006D1426" w:rsidP="006D1426">
            <w:pPr>
              <w:spacing w:after="0" w:line="240" w:lineRule="auto"/>
              <w:ind w:left="354"/>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Doctorat</w:t>
            </w:r>
          </w:p>
        </w:tc>
        <w:tc>
          <w:tcPr>
            <w:tcW w:w="1180" w:type="pct"/>
            <w:tcBorders>
              <w:top w:val="nil"/>
              <w:left w:val="nil"/>
              <w:bottom w:val="single" w:sz="4" w:space="0" w:color="auto"/>
              <w:right w:val="single" w:sz="4" w:space="0" w:color="auto"/>
            </w:tcBorders>
            <w:shd w:val="clear" w:color="auto" w:fill="auto"/>
            <w:vAlign w:val="center"/>
            <w:hideMark/>
          </w:tcPr>
          <w:p w:rsidR="006D1426" w:rsidRPr="006D1426" w:rsidRDefault="006D1426" w:rsidP="00793BBD">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0</w:t>
            </w:r>
          </w:p>
        </w:tc>
      </w:tr>
    </w:tbl>
    <w:p w:rsidR="006D1426" w:rsidRPr="006D1426" w:rsidRDefault="006D1426" w:rsidP="006D1426">
      <w:pPr>
        <w:spacing w:after="0" w:line="360" w:lineRule="auto"/>
        <w:contextualSpacing/>
        <w:jc w:val="both"/>
        <w:rPr>
          <w:rFonts w:ascii="Times New Roman" w:hAnsi="Times New Roman"/>
        </w:rPr>
      </w:pPr>
      <w:r w:rsidRPr="006D1426">
        <w:rPr>
          <w:rFonts w:ascii="Times New Roman" w:hAnsi="Times New Roman"/>
        </w:rPr>
        <w:lastRenderedPageBreak/>
        <w:t>Source : Données PAPA, 2018.</w:t>
      </w:r>
    </w:p>
    <w:p w:rsidR="006D1426" w:rsidRPr="006D1426" w:rsidRDefault="00793BBD" w:rsidP="006D1426">
      <w:pPr>
        <w:spacing w:after="0" w:line="360" w:lineRule="auto"/>
        <w:contextualSpacing/>
        <w:jc w:val="both"/>
        <w:rPr>
          <w:rFonts w:ascii="Times New Roman" w:hAnsi="Times New Roman"/>
          <w:sz w:val="24"/>
        </w:rPr>
      </w:pPr>
      <w:r>
        <w:rPr>
          <w:rFonts w:ascii="Times New Roman" w:hAnsi="Times New Roman"/>
          <w:sz w:val="24"/>
        </w:rPr>
        <w:t>Le tableau 4</w:t>
      </w:r>
      <w:r w:rsidR="006D1426" w:rsidRPr="006D1426">
        <w:rPr>
          <w:rFonts w:ascii="Times New Roman" w:hAnsi="Times New Roman"/>
          <w:sz w:val="24"/>
        </w:rPr>
        <w:t xml:space="preserve"> présente certaines caractéristiques générales des entreprises enquêtées. L’analyse des données montre que la majorité des acteurs sont des boutiques de quartier (63,23%), suivis par les détaillants dans un marché permanent (35%). Les entreprises ont en moyenne dix ans d’existence et la diversification des activités est peu présente (10% des commerçants en 2018). La proportion des entreprises ayant d’autres activités a baissé entre 2015 et 2018 ; ceci peut porter à croire que la diversification se fait au début de l’activité en attendant la maturité de l’entreprise. </w:t>
      </w:r>
    </w:p>
    <w:p w:rsidR="006D1426" w:rsidRPr="006D1426" w:rsidRDefault="006D1426" w:rsidP="006D1426">
      <w:pPr>
        <w:spacing w:after="0" w:line="360" w:lineRule="auto"/>
        <w:contextualSpacing/>
        <w:jc w:val="both"/>
        <w:rPr>
          <w:rFonts w:ascii="Times New Roman" w:hAnsi="Times New Roman"/>
          <w:sz w:val="24"/>
        </w:rPr>
      </w:pPr>
      <w:r w:rsidRPr="006D1426">
        <w:rPr>
          <w:rFonts w:ascii="Times New Roman" w:hAnsi="Times New Roman"/>
          <w:sz w:val="24"/>
        </w:rPr>
        <w:t>Il n’est pas noté une grande évolution entre le nombre de points de vente au démarrage et en 2018. Les détaillants ont donc peu agrandi leurs activités dans l’espace. Par contre, il est noté une grande différence entre la capacité de vente au démarrage (207 kg de céréales par jour</w:t>
      </w:r>
      <w:r w:rsidR="002A1845">
        <w:rPr>
          <w:rFonts w:ascii="Times New Roman" w:hAnsi="Times New Roman"/>
          <w:sz w:val="24"/>
        </w:rPr>
        <w:t xml:space="preserve"> en moyenne</w:t>
      </w:r>
      <w:r w:rsidRPr="006D1426">
        <w:rPr>
          <w:rFonts w:ascii="Times New Roman" w:hAnsi="Times New Roman"/>
          <w:sz w:val="24"/>
        </w:rPr>
        <w:t>) et la capacité de vente en 2018 (506 kg de céréales par jour</w:t>
      </w:r>
      <w:r w:rsidR="002A1845">
        <w:rPr>
          <w:rFonts w:ascii="Times New Roman" w:hAnsi="Times New Roman"/>
          <w:sz w:val="24"/>
        </w:rPr>
        <w:t xml:space="preserve"> en moyenne</w:t>
      </w:r>
      <w:r w:rsidRPr="006D1426">
        <w:rPr>
          <w:rFonts w:ascii="Times New Roman" w:hAnsi="Times New Roman"/>
          <w:sz w:val="24"/>
        </w:rPr>
        <w:t>). Ainsi, même si les entreprises ne se sont pas plus implantées dans l’espace, leurs activités se sont élargies sur place.</w:t>
      </w:r>
    </w:p>
    <w:p w:rsidR="006D1426" w:rsidRPr="006D1426" w:rsidRDefault="00793BBD" w:rsidP="00793BBD">
      <w:pPr>
        <w:pStyle w:val="Lgende"/>
      </w:pPr>
      <w:bookmarkStart w:id="20" w:name="_Toc1484492"/>
      <w:bookmarkStart w:id="21" w:name="_Toc3549390"/>
      <w:bookmarkStart w:id="22" w:name="_Toc34303301"/>
      <w:r w:rsidRPr="00793BBD">
        <w:rPr>
          <w:b/>
        </w:rPr>
        <w:t xml:space="preserve">Tableau </w:t>
      </w:r>
      <w:r w:rsidRPr="00793BBD">
        <w:rPr>
          <w:b/>
        </w:rPr>
        <w:fldChar w:fldCharType="begin"/>
      </w:r>
      <w:r w:rsidRPr="00793BBD">
        <w:rPr>
          <w:b/>
        </w:rPr>
        <w:instrText xml:space="preserve"> SEQ Tableau \* ARABIC </w:instrText>
      </w:r>
      <w:r w:rsidRPr="00793BBD">
        <w:rPr>
          <w:b/>
        </w:rPr>
        <w:fldChar w:fldCharType="separate"/>
      </w:r>
      <w:r w:rsidR="00900EA8">
        <w:rPr>
          <w:b/>
          <w:noProof/>
        </w:rPr>
        <w:t>4</w:t>
      </w:r>
      <w:r w:rsidRPr="00793BBD">
        <w:rPr>
          <w:b/>
        </w:rPr>
        <w:fldChar w:fldCharType="end"/>
      </w:r>
      <w:r w:rsidR="006D1426" w:rsidRPr="006D1426">
        <w:rPr>
          <w:b/>
        </w:rPr>
        <w:t>:</w:t>
      </w:r>
      <w:r w:rsidR="006D1426" w:rsidRPr="006D1426">
        <w:t xml:space="preserve"> Caractéristiques générales de l'entreprise de commercialisation</w:t>
      </w:r>
      <w:bookmarkEnd w:id="20"/>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4"/>
        <w:gridCol w:w="923"/>
      </w:tblGrid>
      <w:tr w:rsidR="006D1426" w:rsidRPr="006D1426" w:rsidTr="006D1426">
        <w:trPr>
          <w:trHeight w:val="113"/>
        </w:trPr>
        <w:tc>
          <w:tcPr>
            <w:tcW w:w="4491" w:type="pct"/>
            <w:shd w:val="clear" w:color="auto" w:fill="auto"/>
          </w:tcPr>
          <w:p w:rsidR="006D1426" w:rsidRPr="006D1426" w:rsidRDefault="006D1426" w:rsidP="006D1426">
            <w:pPr>
              <w:spacing w:after="0" w:line="240" w:lineRule="auto"/>
              <w:rPr>
                <w:rFonts w:ascii="Times New Roman" w:eastAsia="Times New Roman" w:hAnsi="Times New Roman"/>
                <w:b/>
                <w:color w:val="000000"/>
                <w:sz w:val="24"/>
                <w:szCs w:val="24"/>
                <w:lang w:eastAsia="fr-FR"/>
              </w:rPr>
            </w:pPr>
            <w:r w:rsidRPr="006D1426">
              <w:rPr>
                <w:rFonts w:ascii="Times New Roman" w:eastAsia="Times New Roman" w:hAnsi="Times New Roman"/>
                <w:b/>
                <w:color w:val="000000"/>
                <w:sz w:val="24"/>
                <w:szCs w:val="24"/>
                <w:lang w:eastAsia="fr-FR"/>
              </w:rPr>
              <w:t>Variable</w:t>
            </w:r>
          </w:p>
        </w:tc>
        <w:tc>
          <w:tcPr>
            <w:tcW w:w="509" w:type="pct"/>
            <w:shd w:val="clear" w:color="auto" w:fill="auto"/>
          </w:tcPr>
          <w:p w:rsidR="006D1426" w:rsidRPr="006D1426" w:rsidRDefault="006D1426" w:rsidP="006D1426">
            <w:pPr>
              <w:spacing w:after="0" w:line="240" w:lineRule="auto"/>
              <w:jc w:val="right"/>
              <w:rPr>
                <w:rFonts w:ascii="Times New Roman" w:eastAsia="Times New Roman" w:hAnsi="Times New Roman"/>
                <w:b/>
                <w:color w:val="000000"/>
                <w:sz w:val="24"/>
                <w:szCs w:val="24"/>
                <w:lang w:eastAsia="fr-FR"/>
              </w:rPr>
            </w:pPr>
            <w:r w:rsidRPr="006D1426">
              <w:rPr>
                <w:rFonts w:ascii="Times New Roman" w:eastAsia="Times New Roman" w:hAnsi="Times New Roman"/>
                <w:b/>
                <w:color w:val="000000"/>
                <w:sz w:val="24"/>
                <w:szCs w:val="24"/>
                <w:lang w:eastAsia="fr-FR"/>
              </w:rPr>
              <w:t>Valeur</w:t>
            </w:r>
          </w:p>
        </w:tc>
      </w:tr>
      <w:tr w:rsidR="006D1426" w:rsidRPr="006D1426" w:rsidTr="006D1426">
        <w:trPr>
          <w:trHeight w:val="113"/>
        </w:trPr>
        <w:tc>
          <w:tcPr>
            <w:tcW w:w="4491"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Année de démarrage des activités de commercialisation des céréales sèches (moyenne)</w:t>
            </w:r>
          </w:p>
        </w:tc>
        <w:tc>
          <w:tcPr>
            <w:tcW w:w="509" w:type="pct"/>
            <w:shd w:val="clear" w:color="auto" w:fill="auto"/>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2009</w:t>
            </w:r>
          </w:p>
        </w:tc>
      </w:tr>
      <w:tr w:rsidR="002E23B7" w:rsidRPr="006D1426" w:rsidTr="008905FF">
        <w:trPr>
          <w:trHeight w:val="113"/>
        </w:trPr>
        <w:tc>
          <w:tcPr>
            <w:tcW w:w="4491" w:type="pct"/>
            <w:shd w:val="clear" w:color="auto" w:fill="auto"/>
            <w:hideMark/>
          </w:tcPr>
          <w:p w:rsidR="002E23B7" w:rsidRPr="006D1426" w:rsidRDefault="002E23B7" w:rsidP="002E23B7">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xml:space="preserve">Part des commerçants qui ont des activités non agricoles autres que celles de l'entreprise de commercialisation sur la période 2014/2015 (%) </w:t>
            </w: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12</w:t>
            </w:r>
          </w:p>
        </w:tc>
      </w:tr>
      <w:tr w:rsidR="002E23B7" w:rsidRPr="006D1426" w:rsidTr="008905FF">
        <w:trPr>
          <w:trHeight w:val="113"/>
        </w:trPr>
        <w:tc>
          <w:tcPr>
            <w:tcW w:w="4491" w:type="pct"/>
            <w:shd w:val="clear" w:color="auto" w:fill="auto"/>
            <w:hideMark/>
          </w:tcPr>
          <w:p w:rsidR="002E23B7" w:rsidRPr="006D1426" w:rsidRDefault="002E23B7" w:rsidP="002E23B7">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xml:space="preserve">Part des commerçants qui ont des activités non agricoles autres que celles de l'entreprise de commercialisation en 2017/2018 (%) </w:t>
            </w:r>
          </w:p>
        </w:tc>
        <w:tc>
          <w:tcPr>
            <w:tcW w:w="509" w:type="pct"/>
            <w:tcBorders>
              <w:top w:val="nil"/>
              <w:left w:val="single" w:sz="8" w:space="0" w:color="auto"/>
              <w:bottom w:val="single" w:sz="8" w:space="0" w:color="auto"/>
              <w:right w:val="single" w:sz="8" w:space="0" w:color="auto"/>
            </w:tcBorders>
            <w:shd w:val="clear" w:color="auto" w:fill="auto"/>
            <w:vAlign w:val="center"/>
            <w:hideMark/>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10</w:t>
            </w:r>
          </w:p>
        </w:tc>
      </w:tr>
      <w:tr w:rsidR="002E23B7" w:rsidRPr="006D1426" w:rsidTr="008905FF">
        <w:trPr>
          <w:trHeight w:val="113"/>
        </w:trPr>
        <w:tc>
          <w:tcPr>
            <w:tcW w:w="4491" w:type="pct"/>
            <w:shd w:val="clear" w:color="auto" w:fill="auto"/>
            <w:hideMark/>
          </w:tcPr>
          <w:p w:rsidR="002E23B7" w:rsidRPr="006D1426" w:rsidRDefault="002E23B7" w:rsidP="002E23B7">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Types de détaillants (%)</w:t>
            </w:r>
          </w:p>
        </w:tc>
        <w:tc>
          <w:tcPr>
            <w:tcW w:w="509" w:type="pct"/>
            <w:tcBorders>
              <w:top w:val="nil"/>
              <w:left w:val="single" w:sz="8" w:space="0" w:color="auto"/>
              <w:bottom w:val="single" w:sz="8" w:space="0" w:color="auto"/>
              <w:right w:val="single" w:sz="8" w:space="0" w:color="auto"/>
            </w:tcBorders>
            <w:shd w:val="clear" w:color="auto" w:fill="auto"/>
            <w:vAlign w:val="center"/>
            <w:hideMark/>
          </w:tcPr>
          <w:p w:rsidR="002E23B7" w:rsidRPr="002E23B7" w:rsidRDefault="002E23B7" w:rsidP="002E23B7">
            <w:pPr>
              <w:rPr>
                <w:rFonts w:ascii="Times New Roman" w:hAnsi="Times New Roman" w:cs="Times New Roman"/>
                <w:color w:val="000000"/>
                <w:sz w:val="24"/>
                <w:szCs w:val="24"/>
              </w:rPr>
            </w:pPr>
            <w:r w:rsidRPr="002E23B7">
              <w:rPr>
                <w:rFonts w:ascii="Times New Roman" w:hAnsi="Times New Roman" w:cs="Times New Roman"/>
                <w:color w:val="000000"/>
                <w:sz w:val="24"/>
                <w:szCs w:val="24"/>
              </w:rPr>
              <w:t> </w:t>
            </w:r>
          </w:p>
        </w:tc>
      </w:tr>
      <w:tr w:rsidR="002E23B7" w:rsidRPr="006D1426" w:rsidTr="008905FF">
        <w:trPr>
          <w:trHeight w:val="113"/>
        </w:trPr>
        <w:tc>
          <w:tcPr>
            <w:tcW w:w="4491" w:type="pct"/>
            <w:shd w:val="clear" w:color="auto" w:fill="auto"/>
            <w:noWrap/>
            <w:hideMark/>
          </w:tcPr>
          <w:p w:rsidR="002E23B7" w:rsidRPr="006D1426" w:rsidRDefault="002E23B7" w:rsidP="002E23B7">
            <w:pPr>
              <w:spacing w:after="0" w:line="240" w:lineRule="auto"/>
              <w:ind w:left="459"/>
              <w:rPr>
                <w:rFonts w:ascii="Times New Roman" w:eastAsia="Times New Roman" w:hAnsi="Times New Roman"/>
                <w:i/>
                <w:iCs/>
                <w:color w:val="000000"/>
                <w:sz w:val="24"/>
                <w:szCs w:val="24"/>
                <w:lang w:eastAsia="fr-FR"/>
              </w:rPr>
            </w:pPr>
            <w:r w:rsidRPr="006D1426">
              <w:rPr>
                <w:rFonts w:ascii="Times New Roman" w:eastAsia="Times New Roman" w:hAnsi="Times New Roman"/>
                <w:i/>
                <w:iCs/>
                <w:color w:val="000000"/>
                <w:sz w:val="24"/>
                <w:szCs w:val="24"/>
                <w:lang w:eastAsia="fr-FR"/>
              </w:rPr>
              <w:t>Boutique de quartier ;</w:t>
            </w:r>
          </w:p>
        </w:tc>
        <w:tc>
          <w:tcPr>
            <w:tcW w:w="509" w:type="pct"/>
            <w:tcBorders>
              <w:top w:val="nil"/>
              <w:left w:val="single" w:sz="8" w:space="0" w:color="auto"/>
              <w:bottom w:val="single" w:sz="8" w:space="0" w:color="auto"/>
              <w:right w:val="single" w:sz="8" w:space="0" w:color="auto"/>
            </w:tcBorders>
            <w:shd w:val="clear" w:color="auto" w:fill="auto"/>
            <w:vAlign w:val="center"/>
            <w:hideMark/>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63</w:t>
            </w:r>
          </w:p>
        </w:tc>
      </w:tr>
      <w:tr w:rsidR="002E23B7" w:rsidRPr="006D1426" w:rsidTr="008905FF">
        <w:trPr>
          <w:trHeight w:val="113"/>
        </w:trPr>
        <w:tc>
          <w:tcPr>
            <w:tcW w:w="4491" w:type="pct"/>
            <w:shd w:val="clear" w:color="auto" w:fill="auto"/>
            <w:hideMark/>
          </w:tcPr>
          <w:p w:rsidR="002E23B7" w:rsidRPr="006D1426" w:rsidRDefault="002E23B7" w:rsidP="002E23B7">
            <w:pPr>
              <w:spacing w:after="0" w:line="240" w:lineRule="auto"/>
              <w:ind w:left="459"/>
              <w:rPr>
                <w:rFonts w:ascii="Times New Roman" w:eastAsia="Times New Roman" w:hAnsi="Times New Roman"/>
                <w:i/>
                <w:iCs/>
                <w:color w:val="000000"/>
                <w:sz w:val="24"/>
                <w:szCs w:val="24"/>
                <w:lang w:eastAsia="fr-FR"/>
              </w:rPr>
            </w:pPr>
            <w:r w:rsidRPr="006D1426">
              <w:rPr>
                <w:rFonts w:ascii="Times New Roman" w:eastAsia="Times New Roman" w:hAnsi="Times New Roman"/>
                <w:i/>
                <w:iCs/>
                <w:color w:val="000000"/>
                <w:sz w:val="24"/>
                <w:szCs w:val="24"/>
                <w:lang w:eastAsia="fr-FR"/>
              </w:rPr>
              <w:t xml:space="preserve">Détaillant dans un marché permanent ; </w:t>
            </w:r>
          </w:p>
        </w:tc>
        <w:tc>
          <w:tcPr>
            <w:tcW w:w="509" w:type="pct"/>
            <w:tcBorders>
              <w:top w:val="nil"/>
              <w:left w:val="single" w:sz="8" w:space="0" w:color="auto"/>
              <w:bottom w:val="single" w:sz="8" w:space="0" w:color="auto"/>
              <w:right w:val="single" w:sz="8" w:space="0" w:color="auto"/>
            </w:tcBorders>
            <w:shd w:val="clear" w:color="auto" w:fill="auto"/>
            <w:vAlign w:val="center"/>
            <w:hideMark/>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35</w:t>
            </w:r>
          </w:p>
        </w:tc>
      </w:tr>
      <w:tr w:rsidR="002E23B7" w:rsidRPr="006D1426" w:rsidTr="008905FF">
        <w:trPr>
          <w:trHeight w:val="113"/>
        </w:trPr>
        <w:tc>
          <w:tcPr>
            <w:tcW w:w="4491" w:type="pct"/>
            <w:shd w:val="clear" w:color="auto" w:fill="auto"/>
            <w:hideMark/>
          </w:tcPr>
          <w:p w:rsidR="002E23B7" w:rsidRPr="006D1426" w:rsidRDefault="002E23B7" w:rsidP="002E23B7">
            <w:pPr>
              <w:spacing w:after="0" w:line="240" w:lineRule="auto"/>
              <w:ind w:left="459"/>
              <w:rPr>
                <w:rFonts w:ascii="Times New Roman" w:eastAsia="Times New Roman" w:hAnsi="Times New Roman"/>
                <w:i/>
                <w:iCs/>
                <w:color w:val="000000"/>
                <w:sz w:val="24"/>
                <w:szCs w:val="24"/>
                <w:lang w:eastAsia="fr-FR"/>
              </w:rPr>
            </w:pPr>
            <w:r w:rsidRPr="006D1426">
              <w:rPr>
                <w:rFonts w:ascii="Times New Roman" w:eastAsia="Times New Roman" w:hAnsi="Times New Roman"/>
                <w:i/>
                <w:iCs/>
                <w:color w:val="000000"/>
                <w:sz w:val="24"/>
                <w:szCs w:val="24"/>
                <w:lang w:eastAsia="fr-FR"/>
              </w:rPr>
              <w:t xml:space="preserve">Superette de quartier ; </w:t>
            </w:r>
          </w:p>
        </w:tc>
        <w:tc>
          <w:tcPr>
            <w:tcW w:w="509" w:type="pct"/>
            <w:tcBorders>
              <w:top w:val="nil"/>
              <w:left w:val="single" w:sz="8" w:space="0" w:color="auto"/>
              <w:bottom w:val="single" w:sz="8" w:space="0" w:color="auto"/>
              <w:right w:val="single" w:sz="8" w:space="0" w:color="auto"/>
            </w:tcBorders>
            <w:shd w:val="clear" w:color="auto" w:fill="auto"/>
            <w:vAlign w:val="center"/>
            <w:hideMark/>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0</w:t>
            </w:r>
          </w:p>
        </w:tc>
      </w:tr>
      <w:tr w:rsidR="002E23B7" w:rsidRPr="006D1426" w:rsidTr="008905FF">
        <w:trPr>
          <w:trHeight w:val="113"/>
        </w:trPr>
        <w:tc>
          <w:tcPr>
            <w:tcW w:w="4491" w:type="pct"/>
            <w:shd w:val="clear" w:color="auto" w:fill="auto"/>
            <w:hideMark/>
          </w:tcPr>
          <w:p w:rsidR="002E23B7" w:rsidRPr="006D1426" w:rsidRDefault="002E23B7" w:rsidP="002E23B7">
            <w:pPr>
              <w:spacing w:after="0" w:line="240" w:lineRule="auto"/>
              <w:ind w:left="459"/>
              <w:rPr>
                <w:rFonts w:ascii="Times New Roman" w:eastAsia="Times New Roman" w:hAnsi="Times New Roman"/>
                <w:i/>
                <w:iCs/>
                <w:color w:val="000000"/>
                <w:sz w:val="24"/>
                <w:szCs w:val="24"/>
                <w:lang w:eastAsia="fr-FR"/>
              </w:rPr>
            </w:pPr>
            <w:r w:rsidRPr="006D1426">
              <w:rPr>
                <w:rFonts w:ascii="Times New Roman" w:eastAsia="Times New Roman" w:hAnsi="Times New Roman"/>
                <w:i/>
                <w:iCs/>
                <w:color w:val="000000"/>
                <w:sz w:val="24"/>
                <w:szCs w:val="24"/>
                <w:lang w:eastAsia="fr-FR"/>
              </w:rPr>
              <w:t>Vendeurs aliments de bétail</w:t>
            </w:r>
          </w:p>
        </w:tc>
        <w:tc>
          <w:tcPr>
            <w:tcW w:w="509" w:type="pct"/>
            <w:tcBorders>
              <w:top w:val="nil"/>
              <w:left w:val="single" w:sz="8" w:space="0" w:color="auto"/>
              <w:bottom w:val="single" w:sz="8" w:space="0" w:color="auto"/>
              <w:right w:val="single" w:sz="8" w:space="0" w:color="auto"/>
            </w:tcBorders>
            <w:shd w:val="clear" w:color="auto" w:fill="auto"/>
            <w:vAlign w:val="center"/>
            <w:hideMark/>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2</w:t>
            </w:r>
          </w:p>
        </w:tc>
      </w:tr>
      <w:tr w:rsidR="002E23B7" w:rsidRPr="006D1426" w:rsidTr="008905FF">
        <w:trPr>
          <w:trHeight w:val="113"/>
        </w:trPr>
        <w:tc>
          <w:tcPr>
            <w:tcW w:w="4491" w:type="pct"/>
            <w:shd w:val="clear" w:color="auto" w:fill="auto"/>
          </w:tcPr>
          <w:p w:rsidR="002E23B7" w:rsidRPr="006D1426" w:rsidRDefault="002E23B7" w:rsidP="002E23B7">
            <w:pPr>
              <w:spacing w:after="0" w:line="240" w:lineRule="auto"/>
              <w:rPr>
                <w:rFonts w:ascii="Times New Roman" w:eastAsia="Times New Roman" w:hAnsi="Times New Roman"/>
                <w:i/>
                <w:iCs/>
                <w:color w:val="000000"/>
                <w:sz w:val="24"/>
                <w:szCs w:val="24"/>
                <w:lang w:eastAsia="fr-FR"/>
              </w:rPr>
            </w:pPr>
            <w:r w:rsidRPr="006D1426">
              <w:rPr>
                <w:rFonts w:ascii="Times New Roman" w:eastAsia="Times New Roman" w:hAnsi="Times New Roman"/>
                <w:bCs/>
                <w:color w:val="000000"/>
                <w:sz w:val="24"/>
                <w:szCs w:val="24"/>
                <w:lang w:eastAsia="fr-FR"/>
              </w:rPr>
              <w:lastRenderedPageBreak/>
              <w:t>Nombre de mois durant lesquels l'unité fonctionne dans l'année (moyenne)</w:t>
            </w:r>
          </w:p>
        </w:tc>
        <w:tc>
          <w:tcPr>
            <w:tcW w:w="509" w:type="pct"/>
            <w:tcBorders>
              <w:top w:val="nil"/>
              <w:left w:val="single" w:sz="8" w:space="0" w:color="auto"/>
              <w:bottom w:val="single" w:sz="8" w:space="0" w:color="auto"/>
              <w:right w:val="single" w:sz="8" w:space="0" w:color="auto"/>
            </w:tcBorders>
            <w:shd w:val="clear" w:color="auto" w:fill="auto"/>
            <w:vAlign w:val="center"/>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12</w:t>
            </w:r>
          </w:p>
        </w:tc>
      </w:tr>
      <w:tr w:rsidR="002E23B7" w:rsidRPr="006D1426" w:rsidTr="008905FF">
        <w:trPr>
          <w:trHeight w:val="113"/>
        </w:trPr>
        <w:tc>
          <w:tcPr>
            <w:tcW w:w="4491" w:type="pct"/>
            <w:shd w:val="clear" w:color="auto" w:fill="auto"/>
          </w:tcPr>
          <w:p w:rsidR="002E23B7" w:rsidRPr="006D1426" w:rsidRDefault="002E23B7" w:rsidP="002E23B7">
            <w:pPr>
              <w:spacing w:after="0" w:line="240" w:lineRule="auto"/>
              <w:rPr>
                <w:rFonts w:ascii="Times New Roman" w:eastAsia="Times New Roman" w:hAnsi="Times New Roman"/>
                <w:bCs/>
                <w:color w:val="000000"/>
                <w:sz w:val="24"/>
                <w:szCs w:val="24"/>
                <w:lang w:eastAsia="fr-FR"/>
              </w:rPr>
            </w:pPr>
            <w:r w:rsidRPr="006D1426">
              <w:rPr>
                <w:rFonts w:ascii="Times New Roman" w:eastAsia="Times New Roman" w:hAnsi="Times New Roman"/>
                <w:bCs/>
                <w:color w:val="000000"/>
                <w:sz w:val="24"/>
                <w:szCs w:val="24"/>
                <w:lang w:eastAsia="fr-FR"/>
              </w:rPr>
              <w:t>Nombre d’étals/points de vente exploités au démarrage</w:t>
            </w:r>
          </w:p>
        </w:tc>
        <w:tc>
          <w:tcPr>
            <w:tcW w:w="509" w:type="pct"/>
            <w:tcBorders>
              <w:top w:val="nil"/>
              <w:left w:val="single" w:sz="8" w:space="0" w:color="auto"/>
              <w:bottom w:val="single" w:sz="8" w:space="0" w:color="auto"/>
              <w:right w:val="single" w:sz="8" w:space="0" w:color="auto"/>
            </w:tcBorders>
            <w:shd w:val="clear" w:color="auto" w:fill="auto"/>
            <w:vAlign w:val="center"/>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1</w:t>
            </w:r>
          </w:p>
        </w:tc>
      </w:tr>
      <w:tr w:rsidR="002E23B7" w:rsidRPr="006D1426" w:rsidTr="008905FF">
        <w:trPr>
          <w:trHeight w:val="113"/>
        </w:trPr>
        <w:tc>
          <w:tcPr>
            <w:tcW w:w="4491" w:type="pct"/>
            <w:shd w:val="clear" w:color="auto" w:fill="auto"/>
          </w:tcPr>
          <w:p w:rsidR="002E23B7" w:rsidRPr="006D1426" w:rsidRDefault="002E23B7" w:rsidP="002E23B7">
            <w:pPr>
              <w:spacing w:after="0" w:line="240" w:lineRule="auto"/>
              <w:rPr>
                <w:rFonts w:ascii="Times New Roman" w:eastAsia="Times New Roman" w:hAnsi="Times New Roman"/>
                <w:bCs/>
                <w:color w:val="000000"/>
                <w:sz w:val="24"/>
                <w:szCs w:val="24"/>
                <w:lang w:eastAsia="fr-FR"/>
              </w:rPr>
            </w:pPr>
            <w:r w:rsidRPr="006D1426">
              <w:rPr>
                <w:rFonts w:ascii="Times New Roman" w:eastAsia="Times New Roman" w:hAnsi="Times New Roman"/>
                <w:bCs/>
                <w:color w:val="000000"/>
                <w:sz w:val="24"/>
                <w:szCs w:val="24"/>
                <w:lang w:eastAsia="fr-FR"/>
              </w:rPr>
              <w:t>Nombre d’étals/points de vente exploités en 2018</w:t>
            </w:r>
          </w:p>
        </w:tc>
        <w:tc>
          <w:tcPr>
            <w:tcW w:w="509" w:type="pct"/>
            <w:tcBorders>
              <w:top w:val="nil"/>
              <w:left w:val="single" w:sz="8" w:space="0" w:color="auto"/>
              <w:bottom w:val="single" w:sz="8" w:space="0" w:color="auto"/>
              <w:right w:val="single" w:sz="8" w:space="0" w:color="auto"/>
            </w:tcBorders>
            <w:shd w:val="clear" w:color="auto" w:fill="auto"/>
            <w:vAlign w:val="center"/>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1</w:t>
            </w:r>
          </w:p>
        </w:tc>
      </w:tr>
      <w:tr w:rsidR="002E23B7" w:rsidRPr="006D1426" w:rsidTr="008905FF">
        <w:trPr>
          <w:trHeight w:val="113"/>
        </w:trPr>
        <w:tc>
          <w:tcPr>
            <w:tcW w:w="4491" w:type="pct"/>
            <w:shd w:val="clear" w:color="auto" w:fill="auto"/>
          </w:tcPr>
          <w:p w:rsidR="002E23B7" w:rsidRPr="006D1426" w:rsidRDefault="002E23B7" w:rsidP="002E23B7">
            <w:pPr>
              <w:spacing w:after="0" w:line="240" w:lineRule="auto"/>
              <w:rPr>
                <w:rFonts w:ascii="Times New Roman" w:eastAsia="Times New Roman" w:hAnsi="Times New Roman"/>
                <w:bCs/>
                <w:color w:val="000000"/>
                <w:sz w:val="24"/>
                <w:szCs w:val="24"/>
                <w:lang w:eastAsia="fr-FR"/>
              </w:rPr>
            </w:pPr>
            <w:r w:rsidRPr="006D1426">
              <w:rPr>
                <w:rFonts w:ascii="Times New Roman" w:eastAsia="Times New Roman" w:hAnsi="Times New Roman"/>
                <w:bCs/>
                <w:color w:val="000000"/>
                <w:sz w:val="24"/>
                <w:szCs w:val="24"/>
                <w:lang w:eastAsia="fr-FR"/>
              </w:rPr>
              <w:t>Capacité moyenne de vente (kg de céréales/jour</w:t>
            </w:r>
            <w:r w:rsidRPr="006D1426">
              <w:rPr>
                <w:rFonts w:ascii="Times New Roman" w:eastAsia="Times New Roman" w:hAnsi="Times New Roman"/>
                <w:b/>
                <w:bCs/>
                <w:color w:val="000000"/>
                <w:lang w:eastAsia="fr-FR"/>
              </w:rPr>
              <w:t xml:space="preserve">) </w:t>
            </w:r>
            <w:r w:rsidRPr="006D1426">
              <w:rPr>
                <w:rFonts w:ascii="Times New Roman" w:eastAsia="Times New Roman" w:hAnsi="Times New Roman"/>
                <w:bCs/>
                <w:color w:val="000000"/>
                <w:sz w:val="24"/>
                <w:szCs w:val="24"/>
                <w:lang w:eastAsia="fr-FR"/>
              </w:rPr>
              <w:t>au démarrage</w:t>
            </w:r>
          </w:p>
        </w:tc>
        <w:tc>
          <w:tcPr>
            <w:tcW w:w="509" w:type="pct"/>
            <w:tcBorders>
              <w:top w:val="nil"/>
              <w:left w:val="single" w:sz="8" w:space="0" w:color="auto"/>
              <w:bottom w:val="single" w:sz="8" w:space="0" w:color="auto"/>
              <w:right w:val="single" w:sz="8" w:space="0" w:color="auto"/>
            </w:tcBorders>
            <w:shd w:val="clear" w:color="auto" w:fill="auto"/>
            <w:vAlign w:val="center"/>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207</w:t>
            </w:r>
          </w:p>
        </w:tc>
      </w:tr>
      <w:tr w:rsidR="002E23B7" w:rsidRPr="006D1426" w:rsidTr="008905FF">
        <w:trPr>
          <w:trHeight w:val="113"/>
        </w:trPr>
        <w:tc>
          <w:tcPr>
            <w:tcW w:w="4491" w:type="pct"/>
            <w:shd w:val="clear" w:color="auto" w:fill="auto"/>
          </w:tcPr>
          <w:p w:rsidR="002E23B7" w:rsidRPr="006D1426" w:rsidRDefault="002E23B7" w:rsidP="002E23B7">
            <w:pPr>
              <w:spacing w:after="0" w:line="240" w:lineRule="auto"/>
              <w:rPr>
                <w:rFonts w:ascii="Times New Roman" w:eastAsia="Times New Roman" w:hAnsi="Times New Roman"/>
                <w:bCs/>
                <w:color w:val="000000"/>
                <w:sz w:val="24"/>
                <w:szCs w:val="24"/>
                <w:lang w:eastAsia="fr-FR"/>
              </w:rPr>
            </w:pPr>
            <w:r w:rsidRPr="006D1426">
              <w:rPr>
                <w:rFonts w:ascii="Times New Roman" w:eastAsia="Times New Roman" w:hAnsi="Times New Roman"/>
                <w:bCs/>
                <w:color w:val="000000"/>
                <w:sz w:val="24"/>
                <w:szCs w:val="24"/>
                <w:lang w:eastAsia="fr-FR"/>
              </w:rPr>
              <w:t>Capacité moyenne de vente (kg de céréales/jour</w:t>
            </w:r>
            <w:r w:rsidRPr="006D1426">
              <w:rPr>
                <w:rFonts w:ascii="Times New Roman" w:eastAsia="Times New Roman" w:hAnsi="Times New Roman"/>
                <w:b/>
                <w:bCs/>
                <w:color w:val="000000"/>
                <w:lang w:eastAsia="fr-FR"/>
              </w:rPr>
              <w:t xml:space="preserve">) </w:t>
            </w:r>
            <w:r w:rsidRPr="006D1426">
              <w:rPr>
                <w:rFonts w:ascii="Times New Roman" w:eastAsia="Times New Roman" w:hAnsi="Times New Roman"/>
                <w:bCs/>
                <w:color w:val="000000"/>
                <w:sz w:val="24"/>
                <w:szCs w:val="24"/>
                <w:lang w:eastAsia="fr-FR"/>
              </w:rPr>
              <w:t>en 2018</w:t>
            </w:r>
          </w:p>
        </w:tc>
        <w:tc>
          <w:tcPr>
            <w:tcW w:w="509" w:type="pct"/>
            <w:tcBorders>
              <w:top w:val="nil"/>
              <w:left w:val="single" w:sz="8" w:space="0" w:color="auto"/>
              <w:bottom w:val="single" w:sz="8" w:space="0" w:color="auto"/>
              <w:right w:val="single" w:sz="8" w:space="0" w:color="auto"/>
            </w:tcBorders>
            <w:shd w:val="clear" w:color="auto" w:fill="auto"/>
            <w:vAlign w:val="center"/>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506</w:t>
            </w:r>
          </w:p>
        </w:tc>
      </w:tr>
      <w:tr w:rsidR="002E23B7" w:rsidRPr="006D1426" w:rsidTr="008905FF">
        <w:trPr>
          <w:trHeight w:val="113"/>
        </w:trPr>
        <w:tc>
          <w:tcPr>
            <w:tcW w:w="4491" w:type="pct"/>
            <w:shd w:val="clear" w:color="auto" w:fill="auto"/>
          </w:tcPr>
          <w:p w:rsidR="002E23B7" w:rsidRPr="006D1426" w:rsidRDefault="002E23B7" w:rsidP="002E23B7">
            <w:pPr>
              <w:spacing w:after="0" w:line="240" w:lineRule="auto"/>
              <w:rPr>
                <w:rFonts w:ascii="Times New Roman" w:eastAsia="Times New Roman" w:hAnsi="Times New Roman"/>
                <w:i/>
                <w:iCs/>
                <w:color w:val="000000"/>
                <w:sz w:val="24"/>
                <w:szCs w:val="24"/>
                <w:lang w:eastAsia="fr-FR"/>
              </w:rPr>
            </w:pPr>
            <w:r w:rsidRPr="006D1426">
              <w:rPr>
                <w:rFonts w:ascii="Times New Roman" w:eastAsia="Times New Roman" w:hAnsi="Times New Roman"/>
                <w:bCs/>
                <w:color w:val="000000"/>
                <w:sz w:val="24"/>
                <w:szCs w:val="24"/>
                <w:lang w:eastAsia="fr-FR"/>
              </w:rPr>
              <w:t>Besoin en fond de roulement moyen (million de francs CFA)</w:t>
            </w:r>
          </w:p>
        </w:tc>
        <w:tc>
          <w:tcPr>
            <w:tcW w:w="509" w:type="pct"/>
            <w:tcBorders>
              <w:top w:val="nil"/>
              <w:left w:val="single" w:sz="8" w:space="0" w:color="auto"/>
              <w:bottom w:val="single" w:sz="8" w:space="0" w:color="auto"/>
              <w:right w:val="single" w:sz="8" w:space="0" w:color="auto"/>
            </w:tcBorders>
            <w:shd w:val="clear" w:color="auto" w:fill="auto"/>
            <w:vAlign w:val="center"/>
          </w:tcPr>
          <w:p w:rsidR="002E23B7" w:rsidRPr="002E23B7" w:rsidRDefault="002E23B7" w:rsidP="002E23B7">
            <w:pPr>
              <w:jc w:val="right"/>
              <w:rPr>
                <w:rFonts w:ascii="Times New Roman" w:hAnsi="Times New Roman" w:cs="Times New Roman"/>
                <w:color w:val="000000"/>
                <w:sz w:val="24"/>
                <w:szCs w:val="24"/>
              </w:rPr>
            </w:pPr>
            <w:r w:rsidRPr="002E23B7">
              <w:rPr>
                <w:rFonts w:ascii="Times New Roman" w:hAnsi="Times New Roman" w:cs="Times New Roman"/>
                <w:color w:val="000000"/>
                <w:sz w:val="24"/>
                <w:szCs w:val="24"/>
              </w:rPr>
              <w:t>1</w:t>
            </w:r>
          </w:p>
        </w:tc>
      </w:tr>
    </w:tbl>
    <w:p w:rsidR="006D1426" w:rsidRPr="006D1426" w:rsidRDefault="006D1426" w:rsidP="006D1426">
      <w:pPr>
        <w:spacing w:after="0" w:line="360" w:lineRule="auto"/>
        <w:contextualSpacing/>
        <w:jc w:val="both"/>
        <w:rPr>
          <w:rFonts w:ascii="Times New Roman" w:hAnsi="Times New Roman"/>
        </w:rPr>
      </w:pPr>
      <w:r w:rsidRPr="006D1426">
        <w:rPr>
          <w:rFonts w:ascii="Times New Roman" w:hAnsi="Times New Roman"/>
        </w:rPr>
        <w:t>Source : Données PAPA, 2018.</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Le mil est la céréale sèche la plus présente dans</w:t>
      </w:r>
      <w:r w:rsidR="00FB6C97">
        <w:rPr>
          <w:rFonts w:ascii="Times New Roman" w:hAnsi="Times New Roman"/>
          <w:sz w:val="24"/>
        </w:rPr>
        <w:t xml:space="preserve"> le commerce de détail (figure </w:t>
      </w:r>
      <w:r w:rsidRPr="006D1426">
        <w:rPr>
          <w:rFonts w:ascii="Times New Roman" w:hAnsi="Times New Roman"/>
          <w:sz w:val="24"/>
        </w:rPr>
        <w:t>1). La proportion des entreprises vendant cette céréale est en moyenne restée stable entre le démarrage des activités et 2018 (57%). Les vendeurs de maïs et de sorgho ont quant à eux augmenté entre les deux périodes. Le fonio est la céréale sèche la moins vendue par les détaillants. Cela s’explique principalement par la faiblesse de la production de cette céréale et sa méconnaissance des consommateurs urbains.</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 xml:space="preserve">Toutefois, de façon générale le riz (importé et/ou local) est la céréale la plus cédée chez les détaillants. Le riz importé, vendu par 77% des entreprises en 2018, est devant le riz local vendu par 62% d’entre eux. Cependant, l’écart s’est réduit entre le démarrage et 2018 car la proportion des détaillants vendant le riz local est passé de 51% à 62%. Au même moment, la proportion d’entreprises vendant le riz importé a connu </w:t>
      </w:r>
      <w:r w:rsidR="00FB6C97">
        <w:rPr>
          <w:rFonts w:ascii="Times New Roman" w:hAnsi="Times New Roman"/>
          <w:sz w:val="24"/>
        </w:rPr>
        <w:t>une légère baisse, passant de 78 à 77</w:t>
      </w:r>
      <w:r w:rsidRPr="006D1426">
        <w:rPr>
          <w:rFonts w:ascii="Times New Roman" w:hAnsi="Times New Roman"/>
          <w:sz w:val="24"/>
        </w:rPr>
        <w:t>%. Les politiques de promotion du riz local et la croissance de la productio</w:t>
      </w:r>
      <w:r w:rsidR="00FB6C97">
        <w:rPr>
          <w:rFonts w:ascii="Times New Roman" w:hAnsi="Times New Roman"/>
          <w:sz w:val="24"/>
        </w:rPr>
        <w:t xml:space="preserve">n peuvent être à l’origine de </w:t>
      </w:r>
      <w:r w:rsidRPr="006D1426">
        <w:rPr>
          <w:rFonts w:ascii="Times New Roman" w:hAnsi="Times New Roman"/>
          <w:sz w:val="24"/>
        </w:rPr>
        <w:t xml:space="preserve"> sa présence chez un plus grand nombre de détaillants.</w:t>
      </w:r>
    </w:p>
    <w:p w:rsidR="009C73A0" w:rsidRDefault="006D1426" w:rsidP="009C73A0">
      <w:pPr>
        <w:keepNext/>
      </w:pPr>
      <w:r w:rsidRPr="006D1426">
        <w:rPr>
          <w:noProof/>
          <w:lang w:eastAsia="fr-FR"/>
        </w:rPr>
        <w:drawing>
          <wp:inline distT="0" distB="0" distL="0" distR="0" wp14:anchorId="0060E402" wp14:editId="2017D8DA">
            <wp:extent cx="5768340" cy="2628900"/>
            <wp:effectExtent l="0" t="0" r="3810" b="0"/>
            <wp:docPr id="14" name="Graphiqu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1426" w:rsidRPr="006D1426" w:rsidRDefault="002A1845" w:rsidP="002A1845">
      <w:pPr>
        <w:pStyle w:val="Lgende"/>
      </w:pPr>
      <w:bookmarkStart w:id="23" w:name="_Toc34303320"/>
      <w:r w:rsidRPr="002A1845">
        <w:rPr>
          <w:b/>
        </w:rPr>
        <w:t xml:space="preserve">Figure </w:t>
      </w:r>
      <w:r w:rsidRPr="002A1845">
        <w:rPr>
          <w:b/>
        </w:rPr>
        <w:fldChar w:fldCharType="begin"/>
      </w:r>
      <w:r w:rsidRPr="002A1845">
        <w:rPr>
          <w:b/>
        </w:rPr>
        <w:instrText xml:space="preserve"> SEQ Figure \* ARABIC </w:instrText>
      </w:r>
      <w:r w:rsidRPr="002A1845">
        <w:rPr>
          <w:b/>
        </w:rPr>
        <w:fldChar w:fldCharType="separate"/>
      </w:r>
      <w:r w:rsidR="00900EA8">
        <w:rPr>
          <w:b/>
          <w:noProof/>
        </w:rPr>
        <w:t>1</w:t>
      </w:r>
      <w:r w:rsidRPr="002A1845">
        <w:rPr>
          <w:b/>
        </w:rPr>
        <w:fldChar w:fldCharType="end"/>
      </w:r>
      <w:r w:rsidR="009C73A0">
        <w:t>:</w:t>
      </w:r>
      <w:r w:rsidR="009C73A0" w:rsidRPr="009C73A0">
        <w:rPr>
          <w:iCs w:val="0"/>
        </w:rPr>
        <w:t xml:space="preserve"> </w:t>
      </w:r>
      <w:r w:rsidR="009C73A0" w:rsidRPr="006D1426">
        <w:rPr>
          <w:iCs w:val="0"/>
        </w:rPr>
        <w:t>Répartition des détaillants par type de céréales vendues</w:t>
      </w:r>
      <w:bookmarkEnd w:id="23"/>
    </w:p>
    <w:p w:rsidR="006D1426" w:rsidRPr="006D1426" w:rsidRDefault="006D1426" w:rsidP="009C73A0">
      <w:pPr>
        <w:spacing w:after="0" w:line="240" w:lineRule="auto"/>
        <w:contextualSpacing/>
        <w:jc w:val="both"/>
        <w:rPr>
          <w:rFonts w:ascii="Times New Roman" w:hAnsi="Times New Roman"/>
        </w:rPr>
      </w:pPr>
      <w:r w:rsidRPr="006D1426">
        <w:rPr>
          <w:rFonts w:ascii="Times New Roman" w:hAnsi="Times New Roman"/>
        </w:rPr>
        <w:t>Source : Données PAPA, 2018.</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lastRenderedPageBreak/>
        <w:t>L’an</w:t>
      </w:r>
      <w:r w:rsidR="00451D06">
        <w:rPr>
          <w:rFonts w:ascii="Times New Roman" w:hAnsi="Times New Roman"/>
          <w:sz w:val="24"/>
        </w:rPr>
        <w:t>alyse des données de la figure </w:t>
      </w:r>
      <w:r w:rsidR="009C73A0">
        <w:rPr>
          <w:rFonts w:ascii="Times New Roman" w:hAnsi="Times New Roman"/>
          <w:sz w:val="24"/>
        </w:rPr>
        <w:t>2</w:t>
      </w:r>
      <w:r w:rsidRPr="006D1426">
        <w:rPr>
          <w:rFonts w:ascii="Times New Roman" w:hAnsi="Times New Roman"/>
          <w:sz w:val="24"/>
        </w:rPr>
        <w:t xml:space="preserve"> montre que la majorité des entreprises étaient sous une forme individuelle au démarrage (86%). Cette proportion est </w:t>
      </w:r>
      <w:r w:rsidR="009C73A0">
        <w:rPr>
          <w:rFonts w:ascii="Times New Roman" w:hAnsi="Times New Roman"/>
          <w:sz w:val="24"/>
        </w:rPr>
        <w:t>r</w:t>
      </w:r>
      <w:r w:rsidR="00451D06">
        <w:rPr>
          <w:rFonts w:ascii="Times New Roman" w:hAnsi="Times New Roman"/>
          <w:sz w:val="24"/>
        </w:rPr>
        <w:t>estée la même en 2018 (figure </w:t>
      </w:r>
      <w:r w:rsidR="009C73A0">
        <w:rPr>
          <w:rFonts w:ascii="Times New Roman" w:hAnsi="Times New Roman"/>
          <w:sz w:val="24"/>
        </w:rPr>
        <w:t>3</w:t>
      </w:r>
      <w:r w:rsidRPr="006D1426">
        <w:rPr>
          <w:rFonts w:ascii="Times New Roman" w:hAnsi="Times New Roman"/>
          <w:sz w:val="24"/>
        </w:rPr>
        <w:t>). Ainsi, on peut dire que la forme des entreprises n’évolue pas dans le temps.</w:t>
      </w:r>
    </w:p>
    <w:tbl>
      <w:tblPr>
        <w:tblW w:w="0" w:type="auto"/>
        <w:tblCellMar>
          <w:left w:w="70" w:type="dxa"/>
          <w:right w:w="70" w:type="dxa"/>
        </w:tblCellMar>
        <w:tblLook w:val="04A0" w:firstRow="1" w:lastRow="0" w:firstColumn="1" w:lastColumn="0" w:noHBand="0" w:noVBand="1"/>
      </w:tblPr>
      <w:tblGrid>
        <w:gridCol w:w="4604"/>
        <w:gridCol w:w="4468"/>
      </w:tblGrid>
      <w:tr w:rsidR="006D1426" w:rsidRPr="006D1426" w:rsidTr="006D1426">
        <w:trPr>
          <w:trHeight w:val="3879"/>
        </w:trPr>
        <w:tc>
          <w:tcPr>
            <w:tcW w:w="5960" w:type="dxa"/>
            <w:shd w:val="clear" w:color="auto" w:fill="auto"/>
          </w:tcPr>
          <w:p w:rsidR="006D1426" w:rsidRPr="006D1426" w:rsidRDefault="006D1426" w:rsidP="006D1426">
            <w:pPr>
              <w:keepNext/>
              <w:spacing w:after="0" w:line="240" w:lineRule="auto"/>
            </w:pPr>
            <w:r w:rsidRPr="006D1426">
              <w:rPr>
                <w:noProof/>
                <w:lang w:eastAsia="fr-FR"/>
              </w:rPr>
              <w:drawing>
                <wp:inline distT="0" distB="0" distL="0" distR="0" wp14:anchorId="4DE6D88C" wp14:editId="2C0E4150">
                  <wp:extent cx="3017520" cy="2103120"/>
                  <wp:effectExtent l="0" t="0" r="0" b="0"/>
                  <wp:docPr id="16" name="Graphique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1426" w:rsidRPr="006D1426" w:rsidRDefault="00451D06" w:rsidP="00451D06">
            <w:pPr>
              <w:pStyle w:val="Lgende"/>
              <w:rPr>
                <w:iCs w:val="0"/>
              </w:rPr>
            </w:pPr>
            <w:bookmarkStart w:id="24" w:name="_Toc1417037"/>
            <w:bookmarkStart w:id="25" w:name="_Toc1484557"/>
            <w:bookmarkStart w:id="26" w:name="_Toc3549261"/>
            <w:bookmarkStart w:id="27" w:name="_Toc34303321"/>
            <w:r w:rsidRPr="00451D06">
              <w:rPr>
                <w:b/>
              </w:rPr>
              <w:t xml:space="preserve">Figure </w:t>
            </w:r>
            <w:r w:rsidRPr="00451D06">
              <w:rPr>
                <w:b/>
              </w:rPr>
              <w:fldChar w:fldCharType="begin"/>
            </w:r>
            <w:r w:rsidRPr="00451D06">
              <w:rPr>
                <w:b/>
              </w:rPr>
              <w:instrText xml:space="preserve"> SEQ Figure \* ARABIC </w:instrText>
            </w:r>
            <w:r w:rsidRPr="00451D06">
              <w:rPr>
                <w:b/>
              </w:rPr>
              <w:fldChar w:fldCharType="separate"/>
            </w:r>
            <w:r w:rsidR="00900EA8">
              <w:rPr>
                <w:b/>
                <w:noProof/>
              </w:rPr>
              <w:t>2</w:t>
            </w:r>
            <w:r w:rsidRPr="00451D06">
              <w:rPr>
                <w:b/>
              </w:rPr>
              <w:fldChar w:fldCharType="end"/>
            </w:r>
            <w:r w:rsidR="006D1426" w:rsidRPr="006D1426">
              <w:rPr>
                <w:iCs w:val="0"/>
              </w:rPr>
              <w:t>: Forme des entreprises au démarrage</w:t>
            </w:r>
            <w:bookmarkEnd w:id="24"/>
            <w:bookmarkEnd w:id="25"/>
            <w:bookmarkEnd w:id="26"/>
            <w:bookmarkEnd w:id="27"/>
          </w:p>
          <w:p w:rsidR="006D1426" w:rsidRPr="006D1426" w:rsidRDefault="006D1426" w:rsidP="006D1426">
            <w:pPr>
              <w:spacing w:after="0" w:line="360" w:lineRule="auto"/>
              <w:contextualSpacing/>
              <w:jc w:val="both"/>
            </w:pPr>
            <w:r w:rsidRPr="006D1426">
              <w:rPr>
                <w:rFonts w:ascii="Times New Roman" w:hAnsi="Times New Roman"/>
              </w:rPr>
              <w:t>Source : Auteurs à partir de données PAPA, 2018.</w:t>
            </w:r>
          </w:p>
        </w:tc>
        <w:tc>
          <w:tcPr>
            <w:tcW w:w="3776" w:type="dxa"/>
            <w:shd w:val="clear" w:color="auto" w:fill="auto"/>
          </w:tcPr>
          <w:p w:rsidR="006D1426" w:rsidRPr="006D1426" w:rsidRDefault="006D1426" w:rsidP="006D1426">
            <w:pPr>
              <w:keepNext/>
              <w:spacing w:after="0" w:line="240" w:lineRule="auto"/>
            </w:pPr>
            <w:r w:rsidRPr="006D1426">
              <w:rPr>
                <w:noProof/>
                <w:lang w:eastAsia="fr-FR"/>
              </w:rPr>
              <w:drawing>
                <wp:inline distT="0" distB="0" distL="0" distR="0" wp14:anchorId="39EC545B" wp14:editId="3A6D0D09">
                  <wp:extent cx="2926080" cy="2103120"/>
                  <wp:effectExtent l="0" t="0" r="0" b="0"/>
                  <wp:docPr id="17" name="Graphique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1426" w:rsidRPr="006D1426" w:rsidRDefault="00451D06" w:rsidP="00451D06">
            <w:pPr>
              <w:pStyle w:val="Lgende"/>
              <w:rPr>
                <w:iCs w:val="0"/>
              </w:rPr>
            </w:pPr>
            <w:bookmarkStart w:id="28" w:name="_Toc1417038"/>
            <w:bookmarkStart w:id="29" w:name="_Toc1484558"/>
            <w:bookmarkStart w:id="30" w:name="_Toc3549262"/>
            <w:bookmarkStart w:id="31" w:name="_Toc34303322"/>
            <w:r w:rsidRPr="00451D06">
              <w:rPr>
                <w:b/>
              </w:rPr>
              <w:t xml:space="preserve">Figure </w:t>
            </w:r>
            <w:r w:rsidRPr="00451D06">
              <w:rPr>
                <w:b/>
              </w:rPr>
              <w:fldChar w:fldCharType="begin"/>
            </w:r>
            <w:r w:rsidRPr="00451D06">
              <w:rPr>
                <w:b/>
              </w:rPr>
              <w:instrText xml:space="preserve"> SEQ Figure \* ARABIC </w:instrText>
            </w:r>
            <w:r w:rsidRPr="00451D06">
              <w:rPr>
                <w:b/>
              </w:rPr>
              <w:fldChar w:fldCharType="separate"/>
            </w:r>
            <w:r w:rsidR="00900EA8">
              <w:rPr>
                <w:b/>
                <w:noProof/>
              </w:rPr>
              <w:t>3</w:t>
            </w:r>
            <w:r w:rsidRPr="00451D06">
              <w:rPr>
                <w:b/>
              </w:rPr>
              <w:fldChar w:fldCharType="end"/>
            </w:r>
            <w:r w:rsidR="006D1426" w:rsidRPr="006D1426">
              <w:rPr>
                <w:iCs w:val="0"/>
              </w:rPr>
              <w:t>: Forme des entreprises en 2018</w:t>
            </w:r>
            <w:bookmarkEnd w:id="28"/>
            <w:bookmarkEnd w:id="29"/>
            <w:bookmarkEnd w:id="30"/>
            <w:bookmarkEnd w:id="31"/>
          </w:p>
          <w:p w:rsidR="006D1426" w:rsidRPr="006D1426" w:rsidRDefault="006D1426" w:rsidP="006D1426">
            <w:pPr>
              <w:spacing w:after="0" w:line="360" w:lineRule="auto"/>
              <w:contextualSpacing/>
              <w:jc w:val="both"/>
              <w:rPr>
                <w:rFonts w:ascii="Times New Roman" w:hAnsi="Times New Roman"/>
              </w:rPr>
            </w:pPr>
            <w:r w:rsidRPr="006D1426">
              <w:rPr>
                <w:rFonts w:ascii="Times New Roman" w:hAnsi="Times New Roman"/>
              </w:rPr>
              <w:t>Source : Auteurs, à partir de données PAPA, 2018.</w:t>
            </w:r>
          </w:p>
          <w:p w:rsidR="006D1426" w:rsidRPr="006D1426" w:rsidRDefault="006D1426" w:rsidP="006D1426">
            <w:pPr>
              <w:spacing w:after="0" w:line="240" w:lineRule="auto"/>
            </w:pPr>
          </w:p>
        </w:tc>
      </w:tr>
    </w:tbl>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Au démarrage de leurs activités, 27% des entreprises enquêtées étaient juridiquement formalisées contre 38% en 2018. Le taux de formalisation a donc connu une croissance entre les deux périodes même si elle demeure encore faible. Les entreprises déclarées avaient majoritairement un statut individuel au démarrage, c</w:t>
      </w:r>
      <w:r w:rsidR="00451D06">
        <w:rPr>
          <w:rFonts w:ascii="Times New Roman" w:hAnsi="Times New Roman"/>
          <w:sz w:val="24"/>
        </w:rPr>
        <w:t>onformément à la forme (figure </w:t>
      </w:r>
      <w:r w:rsidR="009C73A0">
        <w:rPr>
          <w:rFonts w:ascii="Times New Roman" w:hAnsi="Times New Roman"/>
          <w:sz w:val="24"/>
        </w:rPr>
        <w:t>4</w:t>
      </w:r>
      <w:r w:rsidRPr="006D1426">
        <w:rPr>
          <w:rFonts w:ascii="Times New Roman" w:hAnsi="Times New Roman"/>
          <w:sz w:val="24"/>
        </w:rPr>
        <w:t>). La répartition des statuts est de</w:t>
      </w:r>
      <w:r w:rsidR="009C73A0">
        <w:rPr>
          <w:rFonts w:ascii="Times New Roman" w:hAnsi="Times New Roman"/>
          <w:sz w:val="24"/>
        </w:rPr>
        <w:t>m</w:t>
      </w:r>
      <w:r w:rsidR="00451D06">
        <w:rPr>
          <w:rFonts w:ascii="Times New Roman" w:hAnsi="Times New Roman"/>
          <w:sz w:val="24"/>
        </w:rPr>
        <w:t>eurée la même en 2018 (figure </w:t>
      </w:r>
      <w:r w:rsidR="009C73A0">
        <w:rPr>
          <w:rFonts w:ascii="Times New Roman" w:hAnsi="Times New Roman"/>
          <w:sz w:val="24"/>
        </w:rPr>
        <w:t>5</w:t>
      </w:r>
      <w:r w:rsidRPr="006D1426">
        <w:rPr>
          <w:rFonts w:ascii="Times New Roman" w:hAnsi="Times New Roman"/>
          <w:sz w:val="24"/>
        </w:rPr>
        <w:t>). A l’instar de la forme, peu d’évolution est notée dans le statut des entreprises. Cela peut traduire une faible dynamique de croissance des entreprises ou alors une stratégie pour échapper à la pression fiscale qui peut s’accentuer d’un statut à un autre.</w:t>
      </w:r>
    </w:p>
    <w:tbl>
      <w:tblPr>
        <w:tblW w:w="9972" w:type="dxa"/>
        <w:tblLayout w:type="fixed"/>
        <w:tblCellMar>
          <w:left w:w="70" w:type="dxa"/>
          <w:right w:w="70" w:type="dxa"/>
        </w:tblCellMar>
        <w:tblLook w:val="04A0" w:firstRow="1" w:lastRow="0" w:firstColumn="1" w:lastColumn="0" w:noHBand="0" w:noVBand="1"/>
      </w:tblPr>
      <w:tblGrid>
        <w:gridCol w:w="4634"/>
        <w:gridCol w:w="5338"/>
      </w:tblGrid>
      <w:tr w:rsidR="006D1426" w:rsidRPr="006D1426" w:rsidTr="00DB3DEC">
        <w:trPr>
          <w:trHeight w:val="629"/>
        </w:trPr>
        <w:tc>
          <w:tcPr>
            <w:tcW w:w="4634" w:type="dxa"/>
            <w:shd w:val="clear" w:color="auto" w:fill="auto"/>
          </w:tcPr>
          <w:p w:rsidR="006D1426" w:rsidRPr="006D1426" w:rsidRDefault="006D1426" w:rsidP="006D1426">
            <w:pPr>
              <w:keepNext/>
              <w:spacing w:after="0" w:line="240" w:lineRule="auto"/>
            </w:pPr>
            <w:r w:rsidRPr="006D1426">
              <w:rPr>
                <w:noProof/>
                <w:lang w:eastAsia="fr-FR"/>
              </w:rPr>
              <w:lastRenderedPageBreak/>
              <w:drawing>
                <wp:inline distT="0" distB="0" distL="0" distR="0" wp14:anchorId="0499F448" wp14:editId="213D11C0">
                  <wp:extent cx="2990850" cy="2651760"/>
                  <wp:effectExtent l="0" t="0" r="0" b="15240"/>
                  <wp:docPr id="18" name="Graphique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1426" w:rsidRPr="00DB3DEC" w:rsidRDefault="00451D06" w:rsidP="00451D06">
            <w:pPr>
              <w:pStyle w:val="Lgende"/>
              <w:rPr>
                <w:iCs w:val="0"/>
                <w:szCs w:val="24"/>
              </w:rPr>
            </w:pPr>
            <w:bookmarkStart w:id="32" w:name="_Toc1417039"/>
            <w:bookmarkStart w:id="33" w:name="_Toc1484559"/>
            <w:bookmarkStart w:id="34" w:name="_Toc3549263"/>
            <w:bookmarkStart w:id="35" w:name="_Toc34303323"/>
            <w:r w:rsidRPr="00451D06">
              <w:rPr>
                <w:b/>
              </w:rPr>
              <w:t xml:space="preserve">Figure </w:t>
            </w:r>
            <w:r w:rsidRPr="00451D06">
              <w:rPr>
                <w:b/>
              </w:rPr>
              <w:fldChar w:fldCharType="begin"/>
            </w:r>
            <w:r w:rsidRPr="00451D06">
              <w:rPr>
                <w:b/>
              </w:rPr>
              <w:instrText xml:space="preserve"> SEQ Figure \* ARABIC </w:instrText>
            </w:r>
            <w:r w:rsidRPr="00451D06">
              <w:rPr>
                <w:b/>
              </w:rPr>
              <w:fldChar w:fldCharType="separate"/>
            </w:r>
            <w:r w:rsidR="00900EA8">
              <w:rPr>
                <w:b/>
                <w:noProof/>
              </w:rPr>
              <w:t>4</w:t>
            </w:r>
            <w:r w:rsidRPr="00451D06">
              <w:rPr>
                <w:b/>
              </w:rPr>
              <w:fldChar w:fldCharType="end"/>
            </w:r>
            <w:r w:rsidR="006D1426" w:rsidRPr="00DB3DEC">
              <w:rPr>
                <w:iCs w:val="0"/>
                <w:szCs w:val="24"/>
              </w:rPr>
              <w:t>: Statut des entreprises déclarées, au démarrage</w:t>
            </w:r>
            <w:bookmarkEnd w:id="32"/>
            <w:bookmarkEnd w:id="33"/>
            <w:bookmarkEnd w:id="34"/>
            <w:bookmarkEnd w:id="35"/>
          </w:p>
          <w:p w:rsidR="006D1426" w:rsidRPr="006D1426" w:rsidRDefault="006D1426" w:rsidP="00DB3DEC">
            <w:pPr>
              <w:spacing w:after="0" w:line="240" w:lineRule="auto"/>
              <w:contextualSpacing/>
              <w:jc w:val="both"/>
              <w:rPr>
                <w:rFonts w:ascii="Times New Roman" w:hAnsi="Times New Roman"/>
              </w:rPr>
            </w:pPr>
            <w:r w:rsidRPr="006D1426">
              <w:rPr>
                <w:rFonts w:ascii="Times New Roman" w:hAnsi="Times New Roman"/>
              </w:rPr>
              <w:t>Source : Auteurs à partir de données PAPA, 2018.</w:t>
            </w:r>
          </w:p>
        </w:tc>
        <w:tc>
          <w:tcPr>
            <w:tcW w:w="5338" w:type="dxa"/>
            <w:shd w:val="clear" w:color="auto" w:fill="auto"/>
          </w:tcPr>
          <w:p w:rsidR="006D1426" w:rsidRPr="006D1426" w:rsidRDefault="006D1426" w:rsidP="006D1426">
            <w:pPr>
              <w:keepNext/>
              <w:spacing w:after="0" w:line="240" w:lineRule="auto"/>
            </w:pPr>
            <w:r w:rsidRPr="006D1426">
              <w:rPr>
                <w:noProof/>
                <w:lang w:eastAsia="fr-FR"/>
              </w:rPr>
              <w:drawing>
                <wp:inline distT="0" distB="0" distL="0" distR="0" wp14:anchorId="3EDEB0F1" wp14:editId="0036DE41">
                  <wp:extent cx="2834640" cy="2651760"/>
                  <wp:effectExtent l="0" t="0" r="3810" b="15240"/>
                  <wp:docPr id="19" name="Graphique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D1426" w:rsidRPr="00DB3DEC" w:rsidRDefault="00451D06" w:rsidP="00451D06">
            <w:pPr>
              <w:pStyle w:val="Lgende"/>
              <w:rPr>
                <w:iCs w:val="0"/>
                <w:szCs w:val="24"/>
              </w:rPr>
            </w:pPr>
            <w:bookmarkStart w:id="36" w:name="_Toc1417040"/>
            <w:bookmarkStart w:id="37" w:name="_Toc1484560"/>
            <w:bookmarkStart w:id="38" w:name="_Toc3549264"/>
            <w:bookmarkStart w:id="39" w:name="_Toc34303324"/>
            <w:r w:rsidRPr="00451D06">
              <w:rPr>
                <w:b/>
              </w:rPr>
              <w:t xml:space="preserve">Figure </w:t>
            </w:r>
            <w:r w:rsidRPr="00451D06">
              <w:rPr>
                <w:b/>
              </w:rPr>
              <w:fldChar w:fldCharType="begin"/>
            </w:r>
            <w:r w:rsidRPr="00451D06">
              <w:rPr>
                <w:b/>
              </w:rPr>
              <w:instrText xml:space="preserve"> SEQ Figure \* ARABIC </w:instrText>
            </w:r>
            <w:r w:rsidRPr="00451D06">
              <w:rPr>
                <w:b/>
              </w:rPr>
              <w:fldChar w:fldCharType="separate"/>
            </w:r>
            <w:r w:rsidR="00900EA8">
              <w:rPr>
                <w:b/>
                <w:noProof/>
              </w:rPr>
              <w:t>5</w:t>
            </w:r>
            <w:r w:rsidRPr="00451D06">
              <w:rPr>
                <w:b/>
              </w:rPr>
              <w:fldChar w:fldCharType="end"/>
            </w:r>
            <w:r w:rsidR="006D1426" w:rsidRPr="00DB3DEC">
              <w:rPr>
                <w:iCs w:val="0"/>
                <w:szCs w:val="24"/>
              </w:rPr>
              <w:t>: Statut des entreprises déclarées, en 2018</w:t>
            </w:r>
            <w:bookmarkEnd w:id="36"/>
            <w:bookmarkEnd w:id="37"/>
            <w:bookmarkEnd w:id="38"/>
            <w:bookmarkEnd w:id="39"/>
          </w:p>
          <w:p w:rsidR="006D1426" w:rsidRPr="006D1426" w:rsidRDefault="006D1426" w:rsidP="00DB3DEC">
            <w:pPr>
              <w:spacing w:after="0" w:line="240" w:lineRule="auto"/>
              <w:contextualSpacing/>
              <w:jc w:val="both"/>
              <w:rPr>
                <w:rFonts w:ascii="Times New Roman" w:hAnsi="Times New Roman"/>
              </w:rPr>
            </w:pPr>
            <w:r w:rsidRPr="006D1426">
              <w:rPr>
                <w:rFonts w:ascii="Times New Roman" w:hAnsi="Times New Roman"/>
              </w:rPr>
              <w:t>Source : Auteurs à partir de données PAPA, 2018.</w:t>
            </w:r>
          </w:p>
          <w:p w:rsidR="006D1426" w:rsidRPr="006D1426" w:rsidRDefault="006D1426" w:rsidP="006D1426">
            <w:pPr>
              <w:spacing w:after="0" w:line="360" w:lineRule="auto"/>
              <w:contextualSpacing/>
              <w:jc w:val="both"/>
            </w:pPr>
          </w:p>
        </w:tc>
      </w:tr>
    </w:tbl>
    <w:p w:rsidR="006D1426" w:rsidRPr="006D1426" w:rsidRDefault="006D1426" w:rsidP="006D1426">
      <w:pPr>
        <w:spacing w:before="120" w:after="120" w:line="360" w:lineRule="auto"/>
        <w:jc w:val="both"/>
        <w:rPr>
          <w:rFonts w:ascii="Times New Roman" w:eastAsia="Calibri" w:hAnsi="Times New Roman" w:cs="Times New Roman"/>
          <w:sz w:val="24"/>
        </w:rPr>
      </w:pPr>
      <w:r w:rsidRPr="006D1426">
        <w:rPr>
          <w:rFonts w:ascii="Times New Roman" w:eastAsia="Calibri" w:hAnsi="Times New Roman" w:cs="Times New Roman"/>
          <w:sz w:val="24"/>
        </w:rPr>
        <w:t>Les principaux clients des détaillants de céréal</w:t>
      </w:r>
      <w:r w:rsidR="00451D06">
        <w:rPr>
          <w:rFonts w:ascii="Times New Roman" w:eastAsia="Calibri" w:hAnsi="Times New Roman" w:cs="Times New Roman"/>
          <w:sz w:val="24"/>
        </w:rPr>
        <w:t>es sont les consommateurs (99</w:t>
      </w:r>
      <w:r w:rsidRPr="006D1426">
        <w:rPr>
          <w:rFonts w:ascii="Times New Roman" w:eastAsia="Calibri" w:hAnsi="Times New Roman" w:cs="Times New Roman"/>
          <w:sz w:val="24"/>
        </w:rPr>
        <w:t>% des détaillants) et les transformateurs (3</w:t>
      </w:r>
      <w:r w:rsidR="00451D06">
        <w:rPr>
          <w:rFonts w:ascii="Times New Roman" w:eastAsia="Calibri" w:hAnsi="Times New Roman" w:cs="Times New Roman"/>
          <w:sz w:val="24"/>
        </w:rPr>
        <w:t>4</w:t>
      </w:r>
      <w:r w:rsidRPr="006D1426">
        <w:rPr>
          <w:rFonts w:ascii="Times New Roman" w:eastAsia="Calibri" w:hAnsi="Times New Roman" w:cs="Times New Roman"/>
          <w:sz w:val="24"/>
        </w:rPr>
        <w:t>% des détaillant</w:t>
      </w:r>
      <w:r w:rsidR="009C73A0">
        <w:rPr>
          <w:rFonts w:ascii="Times New Roman" w:eastAsia="Calibri" w:hAnsi="Times New Roman" w:cs="Times New Roman"/>
          <w:sz w:val="24"/>
        </w:rPr>
        <w:t>s)</w:t>
      </w:r>
      <w:r w:rsidR="00451D06">
        <w:rPr>
          <w:rFonts w:ascii="Times New Roman" w:eastAsia="Calibri" w:hAnsi="Times New Roman" w:cs="Times New Roman"/>
          <w:sz w:val="24"/>
        </w:rPr>
        <w:t>, comme le montre le tableau 5</w:t>
      </w:r>
      <w:r w:rsidRPr="006D1426">
        <w:rPr>
          <w:rFonts w:ascii="Times New Roman" w:eastAsia="Calibri" w:hAnsi="Times New Roman" w:cs="Times New Roman"/>
          <w:sz w:val="24"/>
        </w:rPr>
        <w:t xml:space="preserve">. </w:t>
      </w:r>
    </w:p>
    <w:p w:rsidR="006D1426" w:rsidRPr="006D1426" w:rsidRDefault="00451D06" w:rsidP="00451D06">
      <w:pPr>
        <w:pStyle w:val="Lgende"/>
        <w:rPr>
          <w:rFonts w:eastAsia="Calibri" w:cs="Times New Roman"/>
          <w:iCs w:val="0"/>
          <w:sz w:val="28"/>
        </w:rPr>
      </w:pPr>
      <w:bookmarkStart w:id="40" w:name="_Toc1387476"/>
      <w:bookmarkStart w:id="41" w:name="_Toc3549394"/>
      <w:bookmarkStart w:id="42" w:name="_Toc34303302"/>
      <w:r w:rsidRPr="00451D06">
        <w:rPr>
          <w:b/>
        </w:rPr>
        <w:t xml:space="preserve">Tableau </w:t>
      </w:r>
      <w:r w:rsidRPr="00451D06">
        <w:rPr>
          <w:b/>
        </w:rPr>
        <w:fldChar w:fldCharType="begin"/>
      </w:r>
      <w:r w:rsidRPr="00451D06">
        <w:rPr>
          <w:b/>
        </w:rPr>
        <w:instrText xml:space="preserve"> SEQ Tableau \* ARABIC </w:instrText>
      </w:r>
      <w:r w:rsidRPr="00451D06">
        <w:rPr>
          <w:b/>
        </w:rPr>
        <w:fldChar w:fldCharType="separate"/>
      </w:r>
      <w:r w:rsidR="00900EA8">
        <w:rPr>
          <w:b/>
          <w:noProof/>
        </w:rPr>
        <w:t>5</w:t>
      </w:r>
      <w:r w:rsidRPr="00451D06">
        <w:rPr>
          <w:b/>
        </w:rPr>
        <w:fldChar w:fldCharType="end"/>
      </w:r>
      <w:r w:rsidR="006D1426" w:rsidRPr="006D1426">
        <w:rPr>
          <w:rFonts w:eastAsia="Calibri" w:cs="Times New Roman"/>
          <w:b/>
          <w:iCs w:val="0"/>
        </w:rPr>
        <w:t>:</w:t>
      </w:r>
      <w:r w:rsidR="006D1426" w:rsidRPr="006D1426">
        <w:rPr>
          <w:rFonts w:eastAsia="Calibri" w:cs="Times New Roman"/>
          <w:iCs w:val="0"/>
        </w:rPr>
        <w:t xml:space="preserve"> Clientèle et lieux de vente des grossistes de céréales sèches</w:t>
      </w:r>
      <w:bookmarkEnd w:id="40"/>
      <w:bookmarkEnd w:id="41"/>
      <w:bookmarkEnd w:id="42"/>
      <w:r w:rsidR="006D1426" w:rsidRPr="006D1426">
        <w:rPr>
          <w:rFonts w:eastAsia="Calibri" w:cs="Times New Roman"/>
          <w:iCs w:val="0"/>
        </w:rPr>
        <w:t xml:space="preserve"> </w:t>
      </w:r>
    </w:p>
    <w:tbl>
      <w:tblPr>
        <w:tblW w:w="5000" w:type="pct"/>
        <w:tblCellMar>
          <w:left w:w="70" w:type="dxa"/>
          <w:right w:w="70" w:type="dxa"/>
        </w:tblCellMar>
        <w:tblLook w:val="04A0" w:firstRow="1" w:lastRow="0" w:firstColumn="1" w:lastColumn="0" w:noHBand="0" w:noVBand="1"/>
      </w:tblPr>
      <w:tblGrid>
        <w:gridCol w:w="5932"/>
        <w:gridCol w:w="3125"/>
      </w:tblGrid>
      <w:tr w:rsidR="006D1426" w:rsidRPr="006D1426" w:rsidTr="006D1426">
        <w:trPr>
          <w:trHeight w:val="312"/>
        </w:trPr>
        <w:tc>
          <w:tcPr>
            <w:tcW w:w="32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D1426" w:rsidRPr="006D1426" w:rsidRDefault="006D1426" w:rsidP="006D1426">
            <w:pPr>
              <w:spacing w:after="0" w:line="240" w:lineRule="auto"/>
              <w:rPr>
                <w:rFonts w:ascii="Times New Roman" w:eastAsia="Times New Roman" w:hAnsi="Times New Roman" w:cs="Times New Roman"/>
                <w:b/>
                <w:bCs/>
                <w:color w:val="000000"/>
                <w:sz w:val="24"/>
                <w:szCs w:val="24"/>
                <w:lang w:eastAsia="fr-FR"/>
              </w:rPr>
            </w:pPr>
            <w:r w:rsidRPr="006D1426">
              <w:rPr>
                <w:rFonts w:ascii="Times New Roman" w:eastAsia="Times New Roman" w:hAnsi="Times New Roman" w:cs="Times New Roman"/>
                <w:b/>
                <w:bCs/>
                <w:color w:val="000000"/>
                <w:sz w:val="24"/>
                <w:szCs w:val="24"/>
                <w:lang w:eastAsia="fr-FR"/>
              </w:rPr>
              <w:t>Types d'acheteurs (%)</w:t>
            </w:r>
          </w:p>
        </w:tc>
        <w:tc>
          <w:tcPr>
            <w:tcW w:w="1725" w:type="pct"/>
            <w:tcBorders>
              <w:top w:val="single" w:sz="4" w:space="0" w:color="auto"/>
              <w:left w:val="nil"/>
              <w:bottom w:val="single" w:sz="4" w:space="0" w:color="auto"/>
              <w:right w:val="single" w:sz="4" w:space="0" w:color="auto"/>
            </w:tcBorders>
            <w:shd w:val="clear" w:color="000000" w:fill="FFFFFF"/>
            <w:noWrap/>
            <w:vAlign w:val="bottom"/>
            <w:hideMark/>
          </w:tcPr>
          <w:p w:rsidR="006D1426" w:rsidRPr="006D1426" w:rsidRDefault="006D1426" w:rsidP="006D1426">
            <w:pPr>
              <w:spacing w:after="0" w:line="240" w:lineRule="auto"/>
              <w:rPr>
                <w:rFonts w:ascii="Times New Roman" w:eastAsia="Times New Roman" w:hAnsi="Times New Roman" w:cs="Times New Roman"/>
                <w:b/>
                <w:color w:val="000000"/>
                <w:sz w:val="24"/>
                <w:szCs w:val="24"/>
                <w:lang w:eastAsia="fr-FR"/>
              </w:rPr>
            </w:pPr>
            <w:r w:rsidRPr="006D1426">
              <w:rPr>
                <w:rFonts w:ascii="Times New Roman" w:eastAsia="Times New Roman" w:hAnsi="Times New Roman" w:cs="Times New Roman"/>
                <w:b/>
                <w:color w:val="000000"/>
                <w:sz w:val="24"/>
                <w:szCs w:val="24"/>
                <w:lang w:eastAsia="fr-FR"/>
              </w:rPr>
              <w:t> Proportion de détaillants</w:t>
            </w:r>
          </w:p>
        </w:tc>
      </w:tr>
      <w:tr w:rsidR="00451D06" w:rsidRPr="006D1426" w:rsidTr="008905FF">
        <w:trPr>
          <w:trHeight w:val="312"/>
        </w:trPr>
        <w:tc>
          <w:tcPr>
            <w:tcW w:w="3275" w:type="pct"/>
            <w:tcBorders>
              <w:top w:val="nil"/>
              <w:left w:val="single" w:sz="4" w:space="0" w:color="auto"/>
              <w:bottom w:val="single" w:sz="4" w:space="0" w:color="auto"/>
              <w:right w:val="single" w:sz="4" w:space="0" w:color="auto"/>
            </w:tcBorders>
            <w:shd w:val="clear" w:color="000000" w:fill="FFFFFF"/>
            <w:vAlign w:val="bottom"/>
            <w:hideMark/>
          </w:tcPr>
          <w:p w:rsidR="00451D06" w:rsidRPr="006D1426" w:rsidRDefault="00451D06" w:rsidP="00451D0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Consommateur</w:t>
            </w:r>
          </w:p>
        </w:tc>
        <w:tc>
          <w:tcPr>
            <w:tcW w:w="1725" w:type="pct"/>
            <w:tcBorders>
              <w:top w:val="nil"/>
              <w:left w:val="nil"/>
              <w:bottom w:val="single" w:sz="8" w:space="0" w:color="auto"/>
              <w:right w:val="single" w:sz="8" w:space="0" w:color="auto"/>
            </w:tcBorders>
            <w:shd w:val="clear" w:color="000000" w:fill="FFFFFF"/>
            <w:noWrap/>
            <w:vAlign w:val="center"/>
            <w:hideMark/>
          </w:tcPr>
          <w:p w:rsidR="00451D06" w:rsidRPr="00451D06" w:rsidRDefault="00451D06" w:rsidP="00451D06">
            <w:pPr>
              <w:rPr>
                <w:rFonts w:ascii="Times New Roman" w:hAnsi="Times New Roman" w:cs="Times New Roman"/>
                <w:color w:val="000000"/>
                <w:sz w:val="24"/>
                <w:szCs w:val="24"/>
              </w:rPr>
            </w:pPr>
            <w:r w:rsidRPr="00451D06">
              <w:rPr>
                <w:rFonts w:ascii="Times New Roman" w:hAnsi="Times New Roman" w:cs="Times New Roman"/>
                <w:color w:val="000000"/>
                <w:sz w:val="24"/>
                <w:szCs w:val="24"/>
              </w:rPr>
              <w:t>99,1</w:t>
            </w:r>
          </w:p>
        </w:tc>
      </w:tr>
      <w:tr w:rsidR="00451D06" w:rsidRPr="006D1426" w:rsidTr="008905FF">
        <w:trPr>
          <w:trHeight w:val="312"/>
        </w:trPr>
        <w:tc>
          <w:tcPr>
            <w:tcW w:w="3275" w:type="pct"/>
            <w:tcBorders>
              <w:top w:val="nil"/>
              <w:left w:val="single" w:sz="4" w:space="0" w:color="auto"/>
              <w:bottom w:val="single" w:sz="4" w:space="0" w:color="auto"/>
              <w:right w:val="single" w:sz="4" w:space="0" w:color="auto"/>
            </w:tcBorders>
            <w:shd w:val="clear" w:color="000000" w:fill="FFFFFF"/>
            <w:vAlign w:val="bottom"/>
            <w:hideMark/>
          </w:tcPr>
          <w:p w:rsidR="00451D06" w:rsidRPr="006D1426" w:rsidRDefault="00451D06" w:rsidP="00451D0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Transformateur</w:t>
            </w:r>
          </w:p>
        </w:tc>
        <w:tc>
          <w:tcPr>
            <w:tcW w:w="1725" w:type="pct"/>
            <w:tcBorders>
              <w:top w:val="nil"/>
              <w:left w:val="nil"/>
              <w:bottom w:val="single" w:sz="8" w:space="0" w:color="auto"/>
              <w:right w:val="single" w:sz="8" w:space="0" w:color="auto"/>
            </w:tcBorders>
            <w:shd w:val="clear" w:color="000000" w:fill="FFFFFF"/>
            <w:noWrap/>
            <w:vAlign w:val="center"/>
            <w:hideMark/>
          </w:tcPr>
          <w:p w:rsidR="00451D06" w:rsidRPr="00451D06" w:rsidRDefault="00451D06" w:rsidP="00451D06">
            <w:pPr>
              <w:rPr>
                <w:rFonts w:ascii="Times New Roman" w:hAnsi="Times New Roman" w:cs="Times New Roman"/>
                <w:color w:val="000000"/>
                <w:sz w:val="24"/>
                <w:szCs w:val="24"/>
              </w:rPr>
            </w:pPr>
            <w:r w:rsidRPr="00451D06">
              <w:rPr>
                <w:rFonts w:ascii="Times New Roman" w:hAnsi="Times New Roman" w:cs="Times New Roman"/>
                <w:color w:val="000000"/>
                <w:sz w:val="24"/>
                <w:szCs w:val="24"/>
              </w:rPr>
              <w:t>34,0</w:t>
            </w:r>
          </w:p>
        </w:tc>
      </w:tr>
      <w:tr w:rsidR="00451D06" w:rsidRPr="006D1426" w:rsidTr="008905FF">
        <w:trPr>
          <w:trHeight w:val="312"/>
        </w:trPr>
        <w:tc>
          <w:tcPr>
            <w:tcW w:w="3275" w:type="pct"/>
            <w:tcBorders>
              <w:top w:val="nil"/>
              <w:left w:val="single" w:sz="4" w:space="0" w:color="auto"/>
              <w:bottom w:val="single" w:sz="4" w:space="0" w:color="auto"/>
              <w:right w:val="single" w:sz="4" w:space="0" w:color="auto"/>
            </w:tcBorders>
            <w:shd w:val="clear" w:color="000000" w:fill="FFFFFF"/>
            <w:vAlign w:val="bottom"/>
            <w:hideMark/>
          </w:tcPr>
          <w:p w:rsidR="00451D06" w:rsidRPr="006D1426" w:rsidRDefault="00451D06" w:rsidP="00451D0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Autres détaillants</w:t>
            </w:r>
          </w:p>
        </w:tc>
        <w:tc>
          <w:tcPr>
            <w:tcW w:w="1725" w:type="pct"/>
            <w:tcBorders>
              <w:top w:val="nil"/>
              <w:left w:val="nil"/>
              <w:bottom w:val="single" w:sz="8" w:space="0" w:color="auto"/>
              <w:right w:val="single" w:sz="8" w:space="0" w:color="auto"/>
            </w:tcBorders>
            <w:shd w:val="clear" w:color="000000" w:fill="FFFFFF"/>
            <w:noWrap/>
            <w:vAlign w:val="center"/>
            <w:hideMark/>
          </w:tcPr>
          <w:p w:rsidR="00451D06" w:rsidRPr="00451D06" w:rsidRDefault="00451D06" w:rsidP="00451D06">
            <w:pPr>
              <w:rPr>
                <w:rFonts w:ascii="Times New Roman" w:hAnsi="Times New Roman" w:cs="Times New Roman"/>
                <w:color w:val="000000"/>
                <w:sz w:val="24"/>
                <w:szCs w:val="24"/>
              </w:rPr>
            </w:pPr>
            <w:r w:rsidRPr="00451D06">
              <w:rPr>
                <w:rFonts w:ascii="Times New Roman" w:hAnsi="Times New Roman" w:cs="Times New Roman"/>
                <w:color w:val="000000"/>
                <w:sz w:val="24"/>
                <w:szCs w:val="24"/>
              </w:rPr>
              <w:t>8,1</w:t>
            </w:r>
          </w:p>
        </w:tc>
      </w:tr>
      <w:tr w:rsidR="00451D06" w:rsidRPr="006D1426" w:rsidTr="008905FF">
        <w:trPr>
          <w:trHeight w:val="312"/>
        </w:trPr>
        <w:tc>
          <w:tcPr>
            <w:tcW w:w="3275" w:type="pct"/>
            <w:tcBorders>
              <w:top w:val="nil"/>
              <w:left w:val="single" w:sz="4" w:space="0" w:color="auto"/>
              <w:bottom w:val="single" w:sz="4" w:space="0" w:color="auto"/>
              <w:right w:val="single" w:sz="4" w:space="0" w:color="auto"/>
            </w:tcBorders>
            <w:shd w:val="clear" w:color="000000" w:fill="FFFFFF"/>
            <w:vAlign w:val="bottom"/>
            <w:hideMark/>
          </w:tcPr>
          <w:p w:rsidR="00451D06" w:rsidRPr="006D1426" w:rsidRDefault="00451D06" w:rsidP="00451D0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Restaurateurs</w:t>
            </w:r>
          </w:p>
        </w:tc>
        <w:tc>
          <w:tcPr>
            <w:tcW w:w="1725" w:type="pct"/>
            <w:tcBorders>
              <w:top w:val="nil"/>
              <w:left w:val="nil"/>
              <w:bottom w:val="single" w:sz="8" w:space="0" w:color="auto"/>
              <w:right w:val="single" w:sz="8" w:space="0" w:color="auto"/>
            </w:tcBorders>
            <w:shd w:val="clear" w:color="000000" w:fill="FFFFFF"/>
            <w:noWrap/>
            <w:vAlign w:val="center"/>
            <w:hideMark/>
          </w:tcPr>
          <w:p w:rsidR="00451D06" w:rsidRPr="00451D06" w:rsidRDefault="00451D06" w:rsidP="00451D06">
            <w:pPr>
              <w:rPr>
                <w:rFonts w:ascii="Times New Roman" w:hAnsi="Times New Roman" w:cs="Times New Roman"/>
                <w:color w:val="000000"/>
                <w:sz w:val="24"/>
                <w:szCs w:val="24"/>
              </w:rPr>
            </w:pPr>
            <w:r w:rsidRPr="00451D06">
              <w:rPr>
                <w:rFonts w:ascii="Times New Roman" w:hAnsi="Times New Roman" w:cs="Times New Roman"/>
                <w:color w:val="000000"/>
                <w:sz w:val="24"/>
                <w:szCs w:val="24"/>
              </w:rPr>
              <w:t>16,7</w:t>
            </w:r>
          </w:p>
        </w:tc>
      </w:tr>
      <w:tr w:rsidR="00451D06" w:rsidRPr="006D1426" w:rsidTr="008905FF">
        <w:trPr>
          <w:trHeight w:val="312"/>
        </w:trPr>
        <w:tc>
          <w:tcPr>
            <w:tcW w:w="3275" w:type="pct"/>
            <w:tcBorders>
              <w:top w:val="nil"/>
              <w:left w:val="single" w:sz="4" w:space="0" w:color="auto"/>
              <w:bottom w:val="single" w:sz="4" w:space="0" w:color="auto"/>
              <w:right w:val="single" w:sz="4" w:space="0" w:color="auto"/>
            </w:tcBorders>
            <w:shd w:val="clear" w:color="000000" w:fill="FFFFFF"/>
            <w:noWrap/>
            <w:vAlign w:val="bottom"/>
            <w:hideMark/>
          </w:tcPr>
          <w:p w:rsidR="00451D06" w:rsidRPr="006D1426" w:rsidRDefault="00451D06" w:rsidP="00451D0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Autre</w:t>
            </w:r>
          </w:p>
        </w:tc>
        <w:tc>
          <w:tcPr>
            <w:tcW w:w="1725" w:type="pct"/>
            <w:tcBorders>
              <w:top w:val="nil"/>
              <w:left w:val="nil"/>
              <w:bottom w:val="single" w:sz="8" w:space="0" w:color="auto"/>
              <w:right w:val="single" w:sz="8" w:space="0" w:color="auto"/>
            </w:tcBorders>
            <w:shd w:val="clear" w:color="000000" w:fill="FFFFFF"/>
            <w:noWrap/>
            <w:vAlign w:val="center"/>
            <w:hideMark/>
          </w:tcPr>
          <w:p w:rsidR="00451D06" w:rsidRPr="00451D06" w:rsidRDefault="00451D06" w:rsidP="00451D06">
            <w:pPr>
              <w:rPr>
                <w:rFonts w:ascii="Times New Roman" w:hAnsi="Times New Roman" w:cs="Times New Roman"/>
                <w:color w:val="000000"/>
                <w:sz w:val="24"/>
                <w:szCs w:val="24"/>
              </w:rPr>
            </w:pPr>
            <w:r w:rsidRPr="00451D06">
              <w:rPr>
                <w:rFonts w:ascii="Times New Roman" w:hAnsi="Times New Roman" w:cs="Times New Roman"/>
                <w:color w:val="000000"/>
                <w:sz w:val="24"/>
                <w:szCs w:val="24"/>
              </w:rPr>
              <w:t>5,8</w:t>
            </w:r>
          </w:p>
        </w:tc>
      </w:tr>
      <w:tr w:rsidR="00451D06" w:rsidRPr="006D1426" w:rsidTr="008905FF">
        <w:trPr>
          <w:trHeight w:val="312"/>
        </w:trPr>
        <w:tc>
          <w:tcPr>
            <w:tcW w:w="3275" w:type="pct"/>
            <w:tcBorders>
              <w:top w:val="nil"/>
              <w:left w:val="single" w:sz="4" w:space="0" w:color="auto"/>
              <w:bottom w:val="single" w:sz="4" w:space="0" w:color="auto"/>
              <w:right w:val="single" w:sz="4" w:space="0" w:color="auto"/>
            </w:tcBorders>
            <w:shd w:val="clear" w:color="000000" w:fill="FFFFFF"/>
            <w:vAlign w:val="bottom"/>
            <w:hideMark/>
          </w:tcPr>
          <w:p w:rsidR="00451D06" w:rsidRPr="006D1426" w:rsidRDefault="00451D06" w:rsidP="00451D06">
            <w:pPr>
              <w:spacing w:after="0" w:line="240" w:lineRule="auto"/>
              <w:rPr>
                <w:rFonts w:ascii="Times New Roman" w:eastAsia="Times New Roman" w:hAnsi="Times New Roman" w:cs="Times New Roman"/>
                <w:b/>
                <w:bCs/>
                <w:color w:val="000000"/>
                <w:sz w:val="24"/>
                <w:szCs w:val="24"/>
                <w:lang w:eastAsia="fr-FR"/>
              </w:rPr>
            </w:pPr>
            <w:r w:rsidRPr="006D1426">
              <w:rPr>
                <w:rFonts w:ascii="Times New Roman" w:eastAsia="Times New Roman" w:hAnsi="Times New Roman" w:cs="Times New Roman"/>
                <w:b/>
                <w:bCs/>
                <w:color w:val="000000"/>
                <w:sz w:val="24"/>
                <w:szCs w:val="24"/>
                <w:lang w:eastAsia="fr-FR"/>
              </w:rPr>
              <w:t>Vente à crédit (%)</w:t>
            </w:r>
          </w:p>
        </w:tc>
        <w:tc>
          <w:tcPr>
            <w:tcW w:w="1725" w:type="pct"/>
            <w:tcBorders>
              <w:top w:val="nil"/>
              <w:left w:val="nil"/>
              <w:bottom w:val="single" w:sz="8" w:space="0" w:color="auto"/>
              <w:right w:val="single" w:sz="8" w:space="0" w:color="auto"/>
            </w:tcBorders>
            <w:shd w:val="clear" w:color="000000" w:fill="FFFFFF"/>
            <w:vAlign w:val="center"/>
            <w:hideMark/>
          </w:tcPr>
          <w:p w:rsidR="00451D06" w:rsidRPr="00451D06" w:rsidRDefault="00451D06" w:rsidP="00451D06">
            <w:pPr>
              <w:rPr>
                <w:rFonts w:ascii="Times New Roman" w:hAnsi="Times New Roman" w:cs="Times New Roman"/>
                <w:b/>
                <w:bCs/>
                <w:color w:val="000000"/>
                <w:sz w:val="24"/>
                <w:szCs w:val="24"/>
              </w:rPr>
            </w:pPr>
            <w:r w:rsidRPr="00451D06">
              <w:rPr>
                <w:rFonts w:ascii="Times New Roman" w:hAnsi="Times New Roman" w:cs="Times New Roman"/>
                <w:b/>
                <w:bCs/>
                <w:color w:val="000000"/>
                <w:sz w:val="24"/>
                <w:szCs w:val="24"/>
              </w:rPr>
              <w:t>73,9</w:t>
            </w:r>
          </w:p>
        </w:tc>
      </w:tr>
    </w:tbl>
    <w:p w:rsidR="006D1426" w:rsidRPr="006D1426" w:rsidRDefault="006D1426" w:rsidP="006D1426">
      <w:pPr>
        <w:spacing w:after="0"/>
        <w:rPr>
          <w:rFonts w:ascii="Times New Roman" w:eastAsia="Calibri" w:hAnsi="Times New Roman" w:cs="Times New Roman"/>
          <w:szCs w:val="28"/>
        </w:rPr>
      </w:pPr>
      <w:r w:rsidRPr="006D1426">
        <w:rPr>
          <w:rFonts w:ascii="Times New Roman" w:eastAsia="Calibri" w:hAnsi="Times New Roman" w:cs="Times New Roman"/>
          <w:szCs w:val="28"/>
        </w:rPr>
        <w:t>Source : Données PAPA, 2018</w:t>
      </w:r>
    </w:p>
    <w:p w:rsidR="00451D06" w:rsidRDefault="006D1426" w:rsidP="00451D06">
      <w:pPr>
        <w:spacing w:after="0"/>
        <w:rPr>
          <w:rFonts w:ascii="Times New Roman" w:eastAsia="Calibri" w:hAnsi="Times New Roman" w:cs="Times New Roman"/>
          <w:szCs w:val="28"/>
        </w:rPr>
      </w:pPr>
      <w:r w:rsidRPr="006D1426">
        <w:rPr>
          <w:rFonts w:ascii="Times New Roman" w:eastAsia="Calibri" w:hAnsi="Times New Roman" w:cs="Times New Roman"/>
          <w:szCs w:val="28"/>
        </w:rPr>
        <w:t>Note : les proportions portent su</w:t>
      </w:r>
      <w:r w:rsidR="00451D06">
        <w:rPr>
          <w:rFonts w:ascii="Times New Roman" w:eastAsia="Calibri" w:hAnsi="Times New Roman" w:cs="Times New Roman"/>
          <w:szCs w:val="28"/>
        </w:rPr>
        <w:t>r une question à choix multiple</w:t>
      </w:r>
    </w:p>
    <w:p w:rsidR="005B594A" w:rsidRPr="00451D06" w:rsidRDefault="00451D06" w:rsidP="00451D06">
      <w:pPr>
        <w:pStyle w:val="Titre1"/>
        <w:numPr>
          <w:ilvl w:val="0"/>
          <w:numId w:val="0"/>
        </w:numPr>
        <w:rPr>
          <w:rFonts w:eastAsia="Calibri" w:cs="Times New Roman"/>
          <w:szCs w:val="28"/>
        </w:rPr>
      </w:pPr>
      <w:bookmarkStart w:id="43" w:name="_Toc34303396"/>
      <w:r>
        <w:t>IV. </w:t>
      </w:r>
      <w:r w:rsidR="005B594A">
        <w:t>Comportement</w:t>
      </w:r>
      <w:r w:rsidR="00225D9A">
        <w:t xml:space="preserve"> du commerce de détail</w:t>
      </w:r>
      <w:bookmarkEnd w:id="43"/>
    </w:p>
    <w:p w:rsidR="006D1426" w:rsidRPr="009C73A0" w:rsidRDefault="006D1426" w:rsidP="009C73A0">
      <w:pPr>
        <w:pStyle w:val="RapportPAPA"/>
      </w:pPr>
      <w:r w:rsidRPr="006D1426">
        <w:t>Au démarrage des activités, la majorité des entreprises ont été finan</w:t>
      </w:r>
      <w:r w:rsidR="009C73A0">
        <w:t>c</w:t>
      </w:r>
      <w:r w:rsidR="002371FD">
        <w:t>ées sur fonds propres (figure </w:t>
      </w:r>
      <w:r w:rsidR="009C73A0">
        <w:t>6</w:t>
      </w:r>
      <w:r w:rsidRPr="006D1426">
        <w:t xml:space="preserve">). Ce résultat est le même que celui trouvé par </w:t>
      </w:r>
      <w:proofErr w:type="spellStart"/>
      <w:r w:rsidRPr="006D1426">
        <w:t>Fall</w:t>
      </w:r>
      <w:proofErr w:type="spellEnd"/>
      <w:r w:rsidRPr="006D1426">
        <w:t xml:space="preserve"> et al. (2009) dans leur étude sur les chaines de valeur du mil et du sorgho au Sénégal. Les autres sources de financement comprennent</w:t>
      </w:r>
      <w:r w:rsidR="002371FD">
        <w:t>,</w:t>
      </w:r>
      <w:r w:rsidRPr="006D1426">
        <w:t xml:space="preserve"> entre autres</w:t>
      </w:r>
      <w:r w:rsidR="002371FD">
        <w:t>,</w:t>
      </w:r>
      <w:r w:rsidRPr="006D1426">
        <w:t xml:space="preserve"> les prêts et/dons provenant des amis et de la famille, l’héritage. La contribution des banques et institutions financières dans le commerce de détail des céréales est </w:t>
      </w:r>
      <w:r w:rsidRPr="006D1426">
        <w:lastRenderedPageBreak/>
        <w:t xml:space="preserve">encore très faible. </w:t>
      </w:r>
      <w:r w:rsidRPr="009C73A0">
        <w:t>Cela peut se justifier en partie, par l’absence de l’offre de financement des banques classiques et des institutions de microfinance.</w:t>
      </w:r>
    </w:p>
    <w:p w:rsidR="006D1426" w:rsidRPr="006D1426" w:rsidRDefault="006D1426" w:rsidP="006D1426"/>
    <w:p w:rsidR="006D1426" w:rsidRPr="006D1426" w:rsidRDefault="006D1426" w:rsidP="006D1426">
      <w:pPr>
        <w:keepNext/>
      </w:pPr>
      <w:r w:rsidRPr="006D1426">
        <w:rPr>
          <w:noProof/>
          <w:lang w:eastAsia="fr-FR"/>
        </w:rPr>
        <w:drawing>
          <wp:inline distT="0" distB="0" distL="0" distR="0" wp14:anchorId="53F908C7" wp14:editId="13D297BC">
            <wp:extent cx="5783580" cy="2895600"/>
            <wp:effectExtent l="0" t="0" r="7620" b="0"/>
            <wp:docPr id="15" name="Graphique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D1426" w:rsidRPr="00DB3DEC" w:rsidRDefault="002371FD" w:rsidP="002371FD">
      <w:pPr>
        <w:pStyle w:val="Lgende"/>
        <w:rPr>
          <w:iCs w:val="0"/>
          <w:szCs w:val="24"/>
        </w:rPr>
      </w:pPr>
      <w:bookmarkStart w:id="44" w:name="_Toc1417036"/>
      <w:bookmarkStart w:id="45" w:name="_Toc1484556"/>
      <w:bookmarkStart w:id="46" w:name="_Toc3549260"/>
      <w:bookmarkStart w:id="47" w:name="_Toc34303325"/>
      <w:r w:rsidRPr="002371FD">
        <w:rPr>
          <w:b/>
        </w:rPr>
        <w:t xml:space="preserve">Figure </w:t>
      </w:r>
      <w:r w:rsidRPr="002371FD">
        <w:rPr>
          <w:b/>
        </w:rPr>
        <w:fldChar w:fldCharType="begin"/>
      </w:r>
      <w:r w:rsidRPr="002371FD">
        <w:rPr>
          <w:b/>
        </w:rPr>
        <w:instrText xml:space="preserve"> SEQ Figure \* ARABIC </w:instrText>
      </w:r>
      <w:r w:rsidRPr="002371FD">
        <w:rPr>
          <w:b/>
        </w:rPr>
        <w:fldChar w:fldCharType="separate"/>
      </w:r>
      <w:r w:rsidR="00900EA8">
        <w:rPr>
          <w:b/>
          <w:noProof/>
        </w:rPr>
        <w:t>6</w:t>
      </w:r>
      <w:r w:rsidRPr="002371FD">
        <w:rPr>
          <w:b/>
        </w:rPr>
        <w:fldChar w:fldCharType="end"/>
      </w:r>
      <w:r w:rsidR="006D1426" w:rsidRPr="00DB3DEC">
        <w:rPr>
          <w:iCs w:val="0"/>
          <w:szCs w:val="24"/>
        </w:rPr>
        <w:t>: Principales sources de financement des activités au démarrage (% de détaillants)</w:t>
      </w:r>
      <w:bookmarkEnd w:id="44"/>
      <w:bookmarkEnd w:id="45"/>
      <w:bookmarkEnd w:id="46"/>
      <w:bookmarkEnd w:id="47"/>
    </w:p>
    <w:p w:rsidR="006D1426" w:rsidRPr="006D1426" w:rsidRDefault="006D1426" w:rsidP="009C73A0">
      <w:pPr>
        <w:spacing w:after="0" w:line="240" w:lineRule="auto"/>
        <w:contextualSpacing/>
        <w:jc w:val="both"/>
        <w:rPr>
          <w:rFonts w:ascii="Times New Roman" w:hAnsi="Times New Roman"/>
        </w:rPr>
      </w:pPr>
      <w:r w:rsidRPr="006D1426">
        <w:rPr>
          <w:rFonts w:ascii="Times New Roman" w:hAnsi="Times New Roman"/>
        </w:rPr>
        <w:t>Source : Données PAPA, 2018.</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Au démarrage de leurs activités, les entreprises investissent en m</w:t>
      </w:r>
      <w:r w:rsidR="009C73A0">
        <w:rPr>
          <w:rFonts w:ascii="Times New Roman" w:hAnsi="Times New Roman"/>
          <w:sz w:val="24"/>
        </w:rPr>
        <w:t>oy</w:t>
      </w:r>
      <w:r w:rsidR="002371FD">
        <w:rPr>
          <w:rFonts w:ascii="Times New Roman" w:hAnsi="Times New Roman"/>
          <w:sz w:val="24"/>
        </w:rPr>
        <w:t>enne 1 024 000 FCFA (tableau 6</w:t>
      </w:r>
      <w:r w:rsidRPr="006D1426">
        <w:rPr>
          <w:rFonts w:ascii="Times New Roman" w:hAnsi="Times New Roman"/>
          <w:sz w:val="24"/>
        </w:rPr>
        <w:t xml:space="preserve">). Ce montant est réparti principalement entre l’acquisition de bâtiments et de machines. En moyenne, les entreprises n’investissent pas dans du matériel de transport au démarrage. </w:t>
      </w:r>
    </w:p>
    <w:p w:rsidR="006D1426" w:rsidRPr="006D1426" w:rsidRDefault="002371FD" w:rsidP="002371FD">
      <w:pPr>
        <w:pStyle w:val="Lgende"/>
        <w:rPr>
          <w:iCs w:val="0"/>
        </w:rPr>
      </w:pPr>
      <w:bookmarkStart w:id="48" w:name="_Toc1484493"/>
      <w:bookmarkStart w:id="49" w:name="_Toc3549391"/>
      <w:bookmarkStart w:id="50" w:name="_Toc34303303"/>
      <w:r w:rsidRPr="002371FD">
        <w:rPr>
          <w:b/>
        </w:rPr>
        <w:t xml:space="preserve">Tableau </w:t>
      </w:r>
      <w:r w:rsidRPr="002371FD">
        <w:rPr>
          <w:b/>
        </w:rPr>
        <w:fldChar w:fldCharType="begin"/>
      </w:r>
      <w:r w:rsidRPr="002371FD">
        <w:rPr>
          <w:b/>
        </w:rPr>
        <w:instrText xml:space="preserve"> SEQ Tableau \* ARABIC </w:instrText>
      </w:r>
      <w:r w:rsidRPr="002371FD">
        <w:rPr>
          <w:b/>
        </w:rPr>
        <w:fldChar w:fldCharType="separate"/>
      </w:r>
      <w:r w:rsidR="00900EA8">
        <w:rPr>
          <w:b/>
          <w:noProof/>
        </w:rPr>
        <w:t>6</w:t>
      </w:r>
      <w:r w:rsidRPr="002371FD">
        <w:rPr>
          <w:b/>
        </w:rPr>
        <w:fldChar w:fldCharType="end"/>
      </w:r>
      <w:r w:rsidR="006D1426" w:rsidRPr="006D1426">
        <w:rPr>
          <w:iCs w:val="0"/>
        </w:rPr>
        <w:t>: Montants moyens investis au démarrage des activités</w:t>
      </w:r>
      <w:bookmarkEnd w:id="48"/>
      <w:bookmarkEnd w:id="49"/>
      <w:r>
        <w:rPr>
          <w:iCs w:val="0"/>
        </w:rPr>
        <w:t xml:space="preserve"> (milliers de FCFA)</w:t>
      </w:r>
      <w:bookmarkEnd w:id="50"/>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119"/>
        <w:gridCol w:w="3938"/>
      </w:tblGrid>
      <w:tr w:rsidR="006D1426" w:rsidRPr="006D1426" w:rsidTr="006D1426">
        <w:trPr>
          <w:trHeight w:val="630"/>
        </w:trPr>
        <w:tc>
          <w:tcPr>
            <w:tcW w:w="2826" w:type="pct"/>
            <w:shd w:val="clear" w:color="auto" w:fill="auto"/>
          </w:tcPr>
          <w:p w:rsidR="006D1426" w:rsidRPr="006D1426" w:rsidRDefault="006D1426" w:rsidP="006D1426">
            <w:pPr>
              <w:spacing w:after="0" w:line="240" w:lineRule="auto"/>
              <w:rPr>
                <w:rFonts w:ascii="Times New Roman" w:eastAsia="Times New Roman" w:hAnsi="Times New Roman"/>
                <w:b/>
                <w:sz w:val="24"/>
                <w:szCs w:val="24"/>
                <w:lang w:eastAsia="fr-FR"/>
              </w:rPr>
            </w:pPr>
            <w:r w:rsidRPr="006D1426">
              <w:rPr>
                <w:rFonts w:ascii="Times New Roman" w:eastAsia="Times New Roman" w:hAnsi="Times New Roman"/>
                <w:b/>
                <w:sz w:val="24"/>
                <w:szCs w:val="24"/>
                <w:lang w:eastAsia="fr-FR"/>
              </w:rPr>
              <w:t>Poste de dépenses</w:t>
            </w:r>
          </w:p>
        </w:tc>
        <w:tc>
          <w:tcPr>
            <w:tcW w:w="2174" w:type="pct"/>
            <w:shd w:val="clear" w:color="auto" w:fill="auto"/>
          </w:tcPr>
          <w:p w:rsidR="006D1426" w:rsidRPr="006D1426" w:rsidRDefault="006D1426" w:rsidP="006D1426">
            <w:pPr>
              <w:spacing w:after="0" w:line="240" w:lineRule="auto"/>
              <w:rPr>
                <w:rFonts w:ascii="Times New Roman" w:eastAsia="Times New Roman" w:hAnsi="Times New Roman"/>
                <w:b/>
                <w:sz w:val="24"/>
                <w:szCs w:val="24"/>
                <w:lang w:eastAsia="fr-FR"/>
              </w:rPr>
            </w:pPr>
            <w:r w:rsidRPr="006D1426">
              <w:rPr>
                <w:rFonts w:ascii="Times New Roman" w:eastAsia="Times New Roman" w:hAnsi="Times New Roman"/>
                <w:b/>
                <w:sz w:val="24"/>
                <w:szCs w:val="24"/>
                <w:lang w:eastAsia="fr-FR"/>
              </w:rPr>
              <w:t>Montant moyen</w:t>
            </w:r>
          </w:p>
        </w:tc>
      </w:tr>
      <w:tr w:rsidR="002371FD" w:rsidRPr="006D1426" w:rsidTr="008905FF">
        <w:trPr>
          <w:trHeight w:val="630"/>
        </w:trPr>
        <w:tc>
          <w:tcPr>
            <w:tcW w:w="2826" w:type="pct"/>
            <w:shd w:val="clear" w:color="auto" w:fill="auto"/>
            <w:hideMark/>
          </w:tcPr>
          <w:p w:rsidR="002371FD" w:rsidRPr="006D1426" w:rsidRDefault="002371FD" w:rsidP="002371FD">
            <w:pPr>
              <w:spacing w:after="0" w:line="240" w:lineRule="auto"/>
              <w:rPr>
                <w:rFonts w:ascii="Times New Roman" w:eastAsia="Times New Roman" w:hAnsi="Times New Roman"/>
                <w:sz w:val="24"/>
                <w:szCs w:val="24"/>
                <w:lang w:eastAsia="fr-FR"/>
              </w:rPr>
            </w:pPr>
            <w:r w:rsidRPr="006D1426">
              <w:rPr>
                <w:rFonts w:ascii="Times New Roman" w:eastAsia="Times New Roman" w:hAnsi="Times New Roman"/>
                <w:sz w:val="24"/>
                <w:szCs w:val="24"/>
                <w:lang w:eastAsia="fr-FR"/>
              </w:rPr>
              <w:t>Investissement moyen de départ pour acquérir des bâtiments et des entrepôt</w:t>
            </w:r>
            <w:r>
              <w:rPr>
                <w:rFonts w:ascii="Times New Roman" w:eastAsia="Times New Roman" w:hAnsi="Times New Roman"/>
                <w:sz w:val="24"/>
                <w:szCs w:val="24"/>
                <w:lang w:eastAsia="fr-FR"/>
              </w:rPr>
              <w:t xml:space="preserve">s en </w:t>
            </w:r>
          </w:p>
        </w:tc>
        <w:tc>
          <w:tcPr>
            <w:tcW w:w="2174"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rsidR="002371FD" w:rsidRPr="002371FD" w:rsidRDefault="002371FD" w:rsidP="002371FD">
            <w:pPr>
              <w:rPr>
                <w:rFonts w:ascii="Times New Roman" w:hAnsi="Times New Roman" w:cs="Times New Roman"/>
                <w:color w:val="000000"/>
                <w:sz w:val="24"/>
                <w:szCs w:val="24"/>
              </w:rPr>
            </w:pPr>
            <w:r w:rsidRPr="002371FD">
              <w:rPr>
                <w:rFonts w:ascii="Times New Roman" w:hAnsi="Times New Roman" w:cs="Times New Roman"/>
                <w:color w:val="000000"/>
                <w:sz w:val="24"/>
                <w:szCs w:val="24"/>
              </w:rPr>
              <w:t>459</w:t>
            </w:r>
          </w:p>
        </w:tc>
      </w:tr>
      <w:tr w:rsidR="002371FD" w:rsidRPr="006D1426" w:rsidTr="008905FF">
        <w:trPr>
          <w:trHeight w:val="630"/>
        </w:trPr>
        <w:tc>
          <w:tcPr>
            <w:tcW w:w="2826" w:type="pct"/>
            <w:shd w:val="clear" w:color="auto" w:fill="auto"/>
            <w:hideMark/>
          </w:tcPr>
          <w:p w:rsidR="002371FD" w:rsidRPr="006D1426" w:rsidRDefault="002371FD" w:rsidP="002371FD">
            <w:pPr>
              <w:spacing w:after="0" w:line="240" w:lineRule="auto"/>
              <w:rPr>
                <w:rFonts w:ascii="Times New Roman" w:eastAsia="Times New Roman" w:hAnsi="Times New Roman"/>
                <w:sz w:val="24"/>
                <w:szCs w:val="24"/>
                <w:lang w:eastAsia="fr-FR"/>
              </w:rPr>
            </w:pPr>
            <w:r w:rsidRPr="006D1426">
              <w:rPr>
                <w:rFonts w:ascii="Times New Roman" w:eastAsia="Times New Roman" w:hAnsi="Times New Roman"/>
                <w:sz w:val="24"/>
                <w:szCs w:val="24"/>
                <w:lang w:eastAsia="fr-FR"/>
              </w:rPr>
              <w:t>Investissement médian de départ pour acquérir des b</w:t>
            </w:r>
            <w:r>
              <w:rPr>
                <w:rFonts w:ascii="Times New Roman" w:eastAsia="Times New Roman" w:hAnsi="Times New Roman"/>
                <w:sz w:val="24"/>
                <w:szCs w:val="24"/>
                <w:lang w:eastAsia="fr-FR"/>
              </w:rPr>
              <w:t>âtiments et des entrepôts</w:t>
            </w:r>
          </w:p>
        </w:tc>
        <w:tc>
          <w:tcPr>
            <w:tcW w:w="2174" w:type="pct"/>
            <w:tcBorders>
              <w:top w:val="nil"/>
              <w:left w:val="single" w:sz="8" w:space="0" w:color="BFBFBF"/>
              <w:bottom w:val="single" w:sz="8" w:space="0" w:color="BFBFBF"/>
              <w:right w:val="single" w:sz="8" w:space="0" w:color="BFBFBF"/>
            </w:tcBorders>
            <w:shd w:val="clear" w:color="auto" w:fill="auto"/>
            <w:vAlign w:val="center"/>
            <w:hideMark/>
          </w:tcPr>
          <w:p w:rsidR="002371FD" w:rsidRPr="002371FD" w:rsidRDefault="002371FD" w:rsidP="002371FD">
            <w:pPr>
              <w:rPr>
                <w:rFonts w:ascii="Times New Roman" w:hAnsi="Times New Roman" w:cs="Times New Roman"/>
                <w:color w:val="000000"/>
                <w:sz w:val="24"/>
                <w:szCs w:val="24"/>
              </w:rPr>
            </w:pPr>
            <w:r w:rsidRPr="002371FD">
              <w:rPr>
                <w:rFonts w:ascii="Times New Roman" w:hAnsi="Times New Roman" w:cs="Times New Roman"/>
                <w:color w:val="000000"/>
                <w:sz w:val="24"/>
                <w:szCs w:val="24"/>
              </w:rPr>
              <w:t>90</w:t>
            </w:r>
          </w:p>
        </w:tc>
      </w:tr>
      <w:tr w:rsidR="002371FD" w:rsidRPr="006D1426" w:rsidTr="008905FF">
        <w:trPr>
          <w:trHeight w:val="375"/>
        </w:trPr>
        <w:tc>
          <w:tcPr>
            <w:tcW w:w="2826" w:type="pct"/>
            <w:shd w:val="clear" w:color="auto" w:fill="auto"/>
            <w:hideMark/>
          </w:tcPr>
          <w:p w:rsidR="002371FD" w:rsidRPr="006D1426" w:rsidRDefault="002371FD" w:rsidP="002371FD">
            <w:pPr>
              <w:spacing w:after="0" w:line="240" w:lineRule="auto"/>
              <w:rPr>
                <w:rFonts w:ascii="Times New Roman" w:eastAsia="Times New Roman" w:hAnsi="Times New Roman"/>
                <w:sz w:val="24"/>
                <w:szCs w:val="24"/>
                <w:lang w:eastAsia="fr-FR"/>
              </w:rPr>
            </w:pPr>
            <w:r w:rsidRPr="006D1426">
              <w:rPr>
                <w:rFonts w:ascii="Times New Roman" w:eastAsia="Times New Roman" w:hAnsi="Times New Roman"/>
                <w:sz w:val="24"/>
                <w:szCs w:val="24"/>
                <w:lang w:eastAsia="fr-FR"/>
              </w:rPr>
              <w:t>Investissement moyen de départ pour acquérir des</w:t>
            </w:r>
            <w:r>
              <w:rPr>
                <w:rFonts w:ascii="Times New Roman" w:eastAsia="Times New Roman" w:hAnsi="Times New Roman"/>
                <w:sz w:val="24"/>
                <w:szCs w:val="24"/>
                <w:lang w:eastAsia="fr-FR"/>
              </w:rPr>
              <w:t xml:space="preserve"> machines</w:t>
            </w:r>
          </w:p>
        </w:tc>
        <w:tc>
          <w:tcPr>
            <w:tcW w:w="2174" w:type="pct"/>
            <w:tcBorders>
              <w:top w:val="nil"/>
              <w:left w:val="single" w:sz="8" w:space="0" w:color="BFBFBF"/>
              <w:bottom w:val="single" w:sz="8" w:space="0" w:color="BFBFBF"/>
              <w:right w:val="single" w:sz="8" w:space="0" w:color="BFBFBF"/>
            </w:tcBorders>
            <w:shd w:val="clear" w:color="auto" w:fill="auto"/>
            <w:vAlign w:val="center"/>
            <w:hideMark/>
          </w:tcPr>
          <w:p w:rsidR="002371FD" w:rsidRPr="002371FD" w:rsidRDefault="002371FD" w:rsidP="002371FD">
            <w:pPr>
              <w:rPr>
                <w:rFonts w:ascii="Times New Roman" w:hAnsi="Times New Roman" w:cs="Times New Roman"/>
                <w:color w:val="000000"/>
                <w:sz w:val="24"/>
                <w:szCs w:val="24"/>
              </w:rPr>
            </w:pPr>
            <w:r w:rsidRPr="002371FD">
              <w:rPr>
                <w:rFonts w:ascii="Times New Roman" w:hAnsi="Times New Roman" w:cs="Times New Roman"/>
                <w:color w:val="000000"/>
                <w:sz w:val="24"/>
                <w:szCs w:val="24"/>
              </w:rPr>
              <w:t>85</w:t>
            </w:r>
          </w:p>
        </w:tc>
      </w:tr>
      <w:tr w:rsidR="002371FD" w:rsidRPr="006D1426" w:rsidTr="008905FF">
        <w:trPr>
          <w:trHeight w:val="330"/>
        </w:trPr>
        <w:tc>
          <w:tcPr>
            <w:tcW w:w="2826" w:type="pct"/>
            <w:shd w:val="clear" w:color="auto" w:fill="auto"/>
            <w:hideMark/>
          </w:tcPr>
          <w:p w:rsidR="002371FD" w:rsidRPr="006D1426" w:rsidRDefault="002371FD" w:rsidP="002371FD">
            <w:pPr>
              <w:spacing w:after="0" w:line="240" w:lineRule="auto"/>
              <w:rPr>
                <w:rFonts w:ascii="Times New Roman" w:eastAsia="Times New Roman" w:hAnsi="Times New Roman"/>
                <w:sz w:val="24"/>
                <w:szCs w:val="24"/>
                <w:lang w:eastAsia="fr-FR"/>
              </w:rPr>
            </w:pPr>
            <w:r w:rsidRPr="006D1426">
              <w:rPr>
                <w:rFonts w:ascii="Times New Roman" w:eastAsia="Times New Roman" w:hAnsi="Times New Roman"/>
                <w:sz w:val="24"/>
                <w:szCs w:val="24"/>
                <w:lang w:eastAsia="fr-FR"/>
              </w:rPr>
              <w:t>Investissement médian de départ pour acquérir</w:t>
            </w:r>
            <w:r>
              <w:rPr>
                <w:rFonts w:ascii="Times New Roman" w:eastAsia="Times New Roman" w:hAnsi="Times New Roman"/>
                <w:sz w:val="24"/>
                <w:szCs w:val="24"/>
                <w:lang w:eastAsia="fr-FR"/>
              </w:rPr>
              <w:t xml:space="preserve"> des machines </w:t>
            </w:r>
          </w:p>
        </w:tc>
        <w:tc>
          <w:tcPr>
            <w:tcW w:w="2174" w:type="pct"/>
            <w:tcBorders>
              <w:top w:val="nil"/>
              <w:left w:val="single" w:sz="8" w:space="0" w:color="BFBFBF"/>
              <w:bottom w:val="single" w:sz="8" w:space="0" w:color="BFBFBF"/>
              <w:right w:val="single" w:sz="8" w:space="0" w:color="BFBFBF"/>
            </w:tcBorders>
            <w:shd w:val="clear" w:color="auto" w:fill="auto"/>
            <w:vAlign w:val="center"/>
            <w:hideMark/>
          </w:tcPr>
          <w:p w:rsidR="002371FD" w:rsidRPr="002371FD" w:rsidRDefault="002371FD" w:rsidP="002371FD">
            <w:pPr>
              <w:rPr>
                <w:rFonts w:ascii="Times New Roman" w:hAnsi="Times New Roman" w:cs="Times New Roman"/>
                <w:color w:val="000000"/>
                <w:sz w:val="24"/>
                <w:szCs w:val="24"/>
              </w:rPr>
            </w:pPr>
            <w:r w:rsidRPr="002371FD">
              <w:rPr>
                <w:rFonts w:ascii="Times New Roman" w:hAnsi="Times New Roman" w:cs="Times New Roman"/>
                <w:color w:val="000000"/>
                <w:sz w:val="24"/>
                <w:szCs w:val="24"/>
              </w:rPr>
              <w:t>10</w:t>
            </w:r>
          </w:p>
        </w:tc>
      </w:tr>
      <w:tr w:rsidR="002371FD" w:rsidRPr="006D1426" w:rsidTr="008905FF">
        <w:trPr>
          <w:trHeight w:val="300"/>
        </w:trPr>
        <w:tc>
          <w:tcPr>
            <w:tcW w:w="2826" w:type="pct"/>
            <w:shd w:val="clear" w:color="auto" w:fill="auto"/>
            <w:hideMark/>
          </w:tcPr>
          <w:p w:rsidR="002371FD" w:rsidRPr="006D1426" w:rsidRDefault="002371FD" w:rsidP="002371FD">
            <w:pPr>
              <w:spacing w:after="0" w:line="240" w:lineRule="auto"/>
              <w:rPr>
                <w:rFonts w:ascii="Times New Roman" w:eastAsia="Times New Roman" w:hAnsi="Times New Roman"/>
                <w:sz w:val="24"/>
                <w:szCs w:val="24"/>
                <w:lang w:eastAsia="fr-FR"/>
              </w:rPr>
            </w:pPr>
            <w:r w:rsidRPr="006D1426">
              <w:rPr>
                <w:rFonts w:ascii="Times New Roman" w:eastAsia="Times New Roman" w:hAnsi="Times New Roman"/>
                <w:sz w:val="24"/>
                <w:szCs w:val="24"/>
                <w:lang w:eastAsia="fr-FR"/>
              </w:rPr>
              <w:t>Investissement moyen de départ pour acquérir le matériel de t</w:t>
            </w:r>
            <w:r>
              <w:rPr>
                <w:rFonts w:ascii="Times New Roman" w:eastAsia="Times New Roman" w:hAnsi="Times New Roman"/>
                <w:sz w:val="24"/>
                <w:szCs w:val="24"/>
                <w:lang w:eastAsia="fr-FR"/>
              </w:rPr>
              <w:t>ransports</w:t>
            </w:r>
          </w:p>
        </w:tc>
        <w:tc>
          <w:tcPr>
            <w:tcW w:w="2174" w:type="pct"/>
            <w:tcBorders>
              <w:top w:val="nil"/>
              <w:left w:val="single" w:sz="8" w:space="0" w:color="BFBFBF"/>
              <w:bottom w:val="single" w:sz="8" w:space="0" w:color="BFBFBF"/>
              <w:right w:val="single" w:sz="8" w:space="0" w:color="BFBFBF"/>
            </w:tcBorders>
            <w:shd w:val="clear" w:color="auto" w:fill="auto"/>
            <w:vAlign w:val="center"/>
            <w:hideMark/>
          </w:tcPr>
          <w:p w:rsidR="002371FD" w:rsidRPr="002371FD" w:rsidRDefault="002371FD" w:rsidP="002371FD">
            <w:pPr>
              <w:rPr>
                <w:rFonts w:ascii="Times New Roman" w:hAnsi="Times New Roman" w:cs="Times New Roman"/>
                <w:color w:val="000000"/>
                <w:sz w:val="24"/>
                <w:szCs w:val="24"/>
              </w:rPr>
            </w:pPr>
            <w:r w:rsidRPr="002371FD">
              <w:rPr>
                <w:rFonts w:ascii="Times New Roman" w:hAnsi="Times New Roman" w:cs="Times New Roman"/>
                <w:color w:val="000000"/>
                <w:sz w:val="24"/>
                <w:szCs w:val="24"/>
              </w:rPr>
              <w:t>39</w:t>
            </w:r>
          </w:p>
        </w:tc>
      </w:tr>
      <w:tr w:rsidR="002371FD" w:rsidRPr="006D1426" w:rsidTr="008905FF">
        <w:trPr>
          <w:trHeight w:val="315"/>
        </w:trPr>
        <w:tc>
          <w:tcPr>
            <w:tcW w:w="2826" w:type="pct"/>
            <w:shd w:val="clear" w:color="auto" w:fill="auto"/>
            <w:hideMark/>
          </w:tcPr>
          <w:p w:rsidR="002371FD" w:rsidRPr="006D1426" w:rsidRDefault="002371FD" w:rsidP="002371FD">
            <w:pPr>
              <w:spacing w:after="0" w:line="240" w:lineRule="auto"/>
              <w:rPr>
                <w:rFonts w:ascii="Times New Roman" w:eastAsia="Times New Roman" w:hAnsi="Times New Roman"/>
                <w:sz w:val="24"/>
                <w:szCs w:val="24"/>
                <w:lang w:eastAsia="fr-FR"/>
              </w:rPr>
            </w:pPr>
            <w:r w:rsidRPr="006D1426">
              <w:rPr>
                <w:rFonts w:ascii="Times New Roman" w:eastAsia="Times New Roman" w:hAnsi="Times New Roman"/>
                <w:sz w:val="24"/>
                <w:szCs w:val="24"/>
                <w:lang w:eastAsia="fr-FR"/>
              </w:rPr>
              <w:t xml:space="preserve">Investissement médian de départ pour acquérir </w:t>
            </w:r>
            <w:r>
              <w:rPr>
                <w:rFonts w:ascii="Times New Roman" w:eastAsia="Times New Roman" w:hAnsi="Times New Roman"/>
                <w:sz w:val="24"/>
                <w:szCs w:val="24"/>
                <w:lang w:eastAsia="fr-FR"/>
              </w:rPr>
              <w:t xml:space="preserve">le matériel de transports </w:t>
            </w:r>
          </w:p>
        </w:tc>
        <w:tc>
          <w:tcPr>
            <w:tcW w:w="2174" w:type="pct"/>
            <w:tcBorders>
              <w:top w:val="nil"/>
              <w:left w:val="single" w:sz="8" w:space="0" w:color="BFBFBF"/>
              <w:bottom w:val="single" w:sz="8" w:space="0" w:color="BFBFBF"/>
              <w:right w:val="single" w:sz="8" w:space="0" w:color="BFBFBF"/>
            </w:tcBorders>
            <w:shd w:val="clear" w:color="auto" w:fill="auto"/>
            <w:vAlign w:val="center"/>
            <w:hideMark/>
          </w:tcPr>
          <w:p w:rsidR="002371FD" w:rsidRPr="002371FD" w:rsidRDefault="002371FD" w:rsidP="002371FD">
            <w:pPr>
              <w:rPr>
                <w:rFonts w:ascii="Times New Roman" w:hAnsi="Times New Roman" w:cs="Times New Roman"/>
                <w:color w:val="000000"/>
                <w:sz w:val="24"/>
                <w:szCs w:val="24"/>
              </w:rPr>
            </w:pPr>
            <w:r w:rsidRPr="002371FD">
              <w:rPr>
                <w:rFonts w:ascii="Times New Roman" w:hAnsi="Times New Roman" w:cs="Times New Roman"/>
                <w:color w:val="000000"/>
                <w:sz w:val="24"/>
                <w:szCs w:val="24"/>
              </w:rPr>
              <w:t>0</w:t>
            </w:r>
          </w:p>
        </w:tc>
      </w:tr>
      <w:tr w:rsidR="002371FD" w:rsidRPr="006D1426" w:rsidTr="008905FF">
        <w:trPr>
          <w:trHeight w:val="630"/>
        </w:trPr>
        <w:tc>
          <w:tcPr>
            <w:tcW w:w="2826" w:type="pct"/>
            <w:shd w:val="clear" w:color="auto" w:fill="auto"/>
            <w:hideMark/>
          </w:tcPr>
          <w:p w:rsidR="002371FD" w:rsidRPr="006D1426" w:rsidRDefault="002371FD" w:rsidP="002371FD">
            <w:pPr>
              <w:spacing w:after="0" w:line="240" w:lineRule="auto"/>
              <w:rPr>
                <w:rFonts w:ascii="Times New Roman" w:eastAsia="Times New Roman" w:hAnsi="Times New Roman"/>
                <w:sz w:val="24"/>
                <w:szCs w:val="24"/>
                <w:lang w:eastAsia="fr-FR"/>
              </w:rPr>
            </w:pPr>
            <w:r w:rsidRPr="006D1426">
              <w:rPr>
                <w:rFonts w:ascii="Times New Roman" w:eastAsia="Times New Roman" w:hAnsi="Times New Roman"/>
                <w:sz w:val="24"/>
                <w:szCs w:val="24"/>
                <w:lang w:eastAsia="fr-FR"/>
              </w:rPr>
              <w:t>Investissement moyen de départ pour les autres coûts d'inve</w:t>
            </w:r>
            <w:r>
              <w:rPr>
                <w:rFonts w:ascii="Times New Roman" w:eastAsia="Times New Roman" w:hAnsi="Times New Roman"/>
                <w:sz w:val="24"/>
                <w:szCs w:val="24"/>
                <w:lang w:eastAsia="fr-FR"/>
              </w:rPr>
              <w:t>stissement</w:t>
            </w:r>
          </w:p>
        </w:tc>
        <w:tc>
          <w:tcPr>
            <w:tcW w:w="2174" w:type="pct"/>
            <w:tcBorders>
              <w:top w:val="nil"/>
              <w:left w:val="single" w:sz="8" w:space="0" w:color="BFBFBF"/>
              <w:bottom w:val="single" w:sz="8" w:space="0" w:color="BFBFBF"/>
              <w:right w:val="single" w:sz="8" w:space="0" w:color="BFBFBF"/>
            </w:tcBorders>
            <w:shd w:val="clear" w:color="auto" w:fill="auto"/>
            <w:vAlign w:val="center"/>
            <w:hideMark/>
          </w:tcPr>
          <w:p w:rsidR="002371FD" w:rsidRPr="002371FD" w:rsidRDefault="002371FD" w:rsidP="002371FD">
            <w:pPr>
              <w:rPr>
                <w:rFonts w:ascii="Times New Roman" w:hAnsi="Times New Roman" w:cs="Times New Roman"/>
                <w:color w:val="000000"/>
                <w:sz w:val="24"/>
                <w:szCs w:val="24"/>
              </w:rPr>
            </w:pPr>
            <w:r w:rsidRPr="002371FD">
              <w:rPr>
                <w:rFonts w:ascii="Times New Roman" w:hAnsi="Times New Roman" w:cs="Times New Roman"/>
                <w:color w:val="000000"/>
                <w:sz w:val="24"/>
                <w:szCs w:val="24"/>
              </w:rPr>
              <w:t>317</w:t>
            </w:r>
          </w:p>
        </w:tc>
      </w:tr>
      <w:tr w:rsidR="002371FD" w:rsidRPr="006D1426" w:rsidTr="008905FF">
        <w:trPr>
          <w:trHeight w:val="315"/>
        </w:trPr>
        <w:tc>
          <w:tcPr>
            <w:tcW w:w="2826" w:type="pct"/>
            <w:shd w:val="clear" w:color="auto" w:fill="auto"/>
            <w:hideMark/>
          </w:tcPr>
          <w:p w:rsidR="002371FD" w:rsidRPr="006D1426" w:rsidRDefault="002371FD" w:rsidP="002371FD">
            <w:pPr>
              <w:spacing w:after="0" w:line="240" w:lineRule="auto"/>
              <w:rPr>
                <w:rFonts w:ascii="Times New Roman" w:eastAsia="Times New Roman" w:hAnsi="Times New Roman"/>
                <w:sz w:val="24"/>
                <w:szCs w:val="24"/>
                <w:lang w:eastAsia="fr-FR"/>
              </w:rPr>
            </w:pPr>
            <w:r w:rsidRPr="006D1426">
              <w:rPr>
                <w:rFonts w:ascii="Times New Roman" w:eastAsia="Times New Roman" w:hAnsi="Times New Roman"/>
                <w:sz w:val="24"/>
                <w:szCs w:val="24"/>
                <w:lang w:eastAsia="fr-FR"/>
              </w:rPr>
              <w:lastRenderedPageBreak/>
              <w:t>Investissement médian de départ pour les autre</w:t>
            </w:r>
            <w:r w:rsidR="00EF6E47">
              <w:rPr>
                <w:rFonts w:ascii="Times New Roman" w:eastAsia="Times New Roman" w:hAnsi="Times New Roman"/>
                <w:sz w:val="24"/>
                <w:szCs w:val="24"/>
                <w:lang w:eastAsia="fr-FR"/>
              </w:rPr>
              <w:t xml:space="preserve">s coûts d'investissement </w:t>
            </w:r>
          </w:p>
        </w:tc>
        <w:tc>
          <w:tcPr>
            <w:tcW w:w="2174" w:type="pct"/>
            <w:tcBorders>
              <w:top w:val="nil"/>
              <w:left w:val="single" w:sz="8" w:space="0" w:color="BFBFBF"/>
              <w:bottom w:val="single" w:sz="8" w:space="0" w:color="BFBFBF"/>
              <w:right w:val="single" w:sz="8" w:space="0" w:color="BFBFBF"/>
            </w:tcBorders>
            <w:shd w:val="clear" w:color="auto" w:fill="auto"/>
            <w:vAlign w:val="center"/>
            <w:hideMark/>
          </w:tcPr>
          <w:p w:rsidR="002371FD" w:rsidRPr="002371FD" w:rsidRDefault="00EF6E47" w:rsidP="002371FD">
            <w:pPr>
              <w:rPr>
                <w:rFonts w:ascii="Times New Roman" w:hAnsi="Times New Roman" w:cs="Times New Roman"/>
                <w:color w:val="000000"/>
                <w:sz w:val="24"/>
                <w:szCs w:val="24"/>
              </w:rPr>
            </w:pPr>
            <w:r>
              <w:rPr>
                <w:rFonts w:ascii="Times New Roman" w:hAnsi="Times New Roman" w:cs="Times New Roman"/>
                <w:color w:val="000000"/>
                <w:sz w:val="24"/>
                <w:szCs w:val="24"/>
              </w:rPr>
              <w:t>0,0</w:t>
            </w:r>
            <w:r w:rsidR="002371FD" w:rsidRPr="002371FD">
              <w:rPr>
                <w:rFonts w:ascii="Times New Roman" w:hAnsi="Times New Roman" w:cs="Times New Roman"/>
                <w:color w:val="000000"/>
                <w:sz w:val="24"/>
                <w:szCs w:val="24"/>
              </w:rPr>
              <w:t>64</w:t>
            </w:r>
          </w:p>
        </w:tc>
      </w:tr>
      <w:tr w:rsidR="002371FD" w:rsidRPr="006D1426" w:rsidTr="008905FF">
        <w:trPr>
          <w:trHeight w:val="315"/>
        </w:trPr>
        <w:tc>
          <w:tcPr>
            <w:tcW w:w="2826" w:type="pct"/>
            <w:shd w:val="clear" w:color="auto" w:fill="auto"/>
          </w:tcPr>
          <w:p w:rsidR="002371FD" w:rsidRPr="006D1426" w:rsidRDefault="002371FD" w:rsidP="002371FD">
            <w:pPr>
              <w:spacing w:after="0" w:line="240" w:lineRule="auto"/>
              <w:rPr>
                <w:rFonts w:ascii="Times New Roman" w:eastAsia="Times New Roman" w:hAnsi="Times New Roman"/>
                <w:sz w:val="24"/>
                <w:szCs w:val="24"/>
                <w:lang w:eastAsia="fr-FR"/>
              </w:rPr>
            </w:pPr>
            <w:r w:rsidRPr="006D1426">
              <w:rPr>
                <w:rFonts w:ascii="Times New Roman" w:eastAsia="Times New Roman" w:hAnsi="Times New Roman"/>
                <w:sz w:val="24"/>
                <w:szCs w:val="24"/>
                <w:lang w:eastAsia="fr-FR"/>
              </w:rPr>
              <w:t xml:space="preserve">Total </w:t>
            </w:r>
          </w:p>
        </w:tc>
        <w:tc>
          <w:tcPr>
            <w:tcW w:w="2174" w:type="pct"/>
            <w:tcBorders>
              <w:top w:val="nil"/>
              <w:left w:val="single" w:sz="8" w:space="0" w:color="BFBFBF"/>
              <w:bottom w:val="single" w:sz="8" w:space="0" w:color="BFBFBF"/>
              <w:right w:val="single" w:sz="8" w:space="0" w:color="BFBFBF"/>
            </w:tcBorders>
            <w:shd w:val="clear" w:color="auto" w:fill="auto"/>
            <w:vAlign w:val="center"/>
          </w:tcPr>
          <w:p w:rsidR="002371FD" w:rsidRPr="002371FD" w:rsidRDefault="00EF6E47" w:rsidP="002371FD">
            <w:pP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bl>
    <w:p w:rsidR="006D1426" w:rsidRPr="006D1426" w:rsidRDefault="006D1426" w:rsidP="006D1426">
      <w:pPr>
        <w:spacing w:after="0" w:line="360" w:lineRule="auto"/>
        <w:contextualSpacing/>
        <w:jc w:val="both"/>
        <w:rPr>
          <w:rFonts w:ascii="Times New Roman" w:hAnsi="Times New Roman"/>
        </w:rPr>
      </w:pPr>
      <w:r w:rsidRPr="006D1426">
        <w:rPr>
          <w:rFonts w:ascii="Times New Roman" w:hAnsi="Times New Roman"/>
        </w:rPr>
        <w:t>Source : Données PAPA, 2018.</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Les entreprises de vente au détail vendent une diversité de produit</w:t>
      </w:r>
      <w:r w:rsidR="00471494">
        <w:rPr>
          <w:rFonts w:ascii="Times New Roman" w:hAnsi="Times New Roman"/>
          <w:sz w:val="24"/>
        </w:rPr>
        <w:t>s bruts et transformés (figure </w:t>
      </w:r>
      <w:r w:rsidRPr="006D1426">
        <w:rPr>
          <w:rFonts w:ascii="Times New Roman" w:hAnsi="Times New Roman"/>
          <w:sz w:val="24"/>
        </w:rPr>
        <w:t xml:space="preserve">7). Les produits à base de mil et de riz sont vendus par le plus grand nombre d’entreprises. L’analyse des données montre que les commerçants vendent plus de produits bruts (mil grains, sorgho grains, mais grains que de produits transformés. Le mil grain et le riz blanc brisé ordinaire importé sont les céréales brutes vendues par le plus grand nombre de détaillants. Cela s’explique par la place centrale de ces deux produits dans la consommation des ménages sénégalais. Le produit transformé le plus présent dans la vente de au détail est le </w:t>
      </w:r>
      <w:proofErr w:type="spellStart"/>
      <w:r w:rsidRPr="006D1426">
        <w:rPr>
          <w:rFonts w:ascii="Times New Roman" w:hAnsi="Times New Roman"/>
          <w:sz w:val="24"/>
        </w:rPr>
        <w:t>sankhal</w:t>
      </w:r>
      <w:proofErr w:type="spellEnd"/>
      <w:r w:rsidRPr="006D1426">
        <w:rPr>
          <w:rFonts w:ascii="Times New Roman" w:hAnsi="Times New Roman"/>
          <w:sz w:val="24"/>
        </w:rPr>
        <w:t xml:space="preserve"> (brisures) de mil vendu par près de 23% des détaillants, il est suivi par le </w:t>
      </w:r>
      <w:proofErr w:type="spellStart"/>
      <w:r w:rsidRPr="006D1426">
        <w:rPr>
          <w:rFonts w:ascii="Times New Roman" w:hAnsi="Times New Roman"/>
          <w:sz w:val="24"/>
        </w:rPr>
        <w:t>arraw</w:t>
      </w:r>
      <w:proofErr w:type="spellEnd"/>
      <w:r w:rsidRPr="006D1426">
        <w:rPr>
          <w:rFonts w:ascii="Times New Roman" w:hAnsi="Times New Roman"/>
          <w:sz w:val="24"/>
        </w:rPr>
        <w:t xml:space="preserve"> (granulés) de mil vendu par 6% des détaillants. Les produits transformés à base des autres céréales sont très peu présents chez les détaillants.</w:t>
      </w:r>
    </w:p>
    <w:p w:rsidR="006D1426" w:rsidRPr="006D1426" w:rsidRDefault="006D1426" w:rsidP="006D1426">
      <w:pPr>
        <w:keepNext/>
      </w:pPr>
      <w:r w:rsidRPr="006D1426">
        <w:rPr>
          <w:noProof/>
          <w:lang w:eastAsia="fr-FR"/>
        </w:rPr>
        <w:drawing>
          <wp:inline distT="0" distB="0" distL="0" distR="0" wp14:anchorId="1113B635" wp14:editId="3C41B77E">
            <wp:extent cx="5836920" cy="4030980"/>
            <wp:effectExtent l="0" t="0" r="11430" b="7620"/>
            <wp:docPr id="20" name="Graphique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1426" w:rsidRPr="00DB3DEC" w:rsidRDefault="00471494" w:rsidP="00471494">
      <w:pPr>
        <w:pStyle w:val="Lgende"/>
        <w:rPr>
          <w:iCs w:val="0"/>
          <w:szCs w:val="24"/>
        </w:rPr>
      </w:pPr>
      <w:bookmarkStart w:id="51" w:name="_Toc1417041"/>
      <w:bookmarkStart w:id="52" w:name="_Toc1484561"/>
      <w:bookmarkStart w:id="53" w:name="_Toc3549265"/>
      <w:bookmarkStart w:id="54" w:name="_Toc34303326"/>
      <w:r w:rsidRPr="00471494">
        <w:rPr>
          <w:b/>
        </w:rPr>
        <w:t xml:space="preserve">Figure </w:t>
      </w:r>
      <w:r w:rsidRPr="00471494">
        <w:rPr>
          <w:b/>
        </w:rPr>
        <w:fldChar w:fldCharType="begin"/>
      </w:r>
      <w:r w:rsidRPr="00471494">
        <w:rPr>
          <w:b/>
        </w:rPr>
        <w:instrText xml:space="preserve"> SEQ Figure \* ARABIC </w:instrText>
      </w:r>
      <w:r w:rsidRPr="00471494">
        <w:rPr>
          <w:b/>
        </w:rPr>
        <w:fldChar w:fldCharType="separate"/>
      </w:r>
      <w:r w:rsidR="00900EA8">
        <w:rPr>
          <w:b/>
          <w:noProof/>
        </w:rPr>
        <w:t>7</w:t>
      </w:r>
      <w:r w:rsidRPr="00471494">
        <w:rPr>
          <w:b/>
        </w:rPr>
        <w:fldChar w:fldCharType="end"/>
      </w:r>
      <w:r w:rsidR="006D1426" w:rsidRPr="00DB3DEC">
        <w:rPr>
          <w:iCs w:val="0"/>
          <w:szCs w:val="24"/>
        </w:rPr>
        <w:t>: Types de produits vendus par les détaillants (proportions de vendeurs)</w:t>
      </w:r>
      <w:bookmarkEnd w:id="51"/>
      <w:bookmarkEnd w:id="52"/>
      <w:bookmarkEnd w:id="53"/>
      <w:bookmarkEnd w:id="54"/>
    </w:p>
    <w:p w:rsidR="006D1426" w:rsidRPr="006D1426" w:rsidRDefault="006D1426" w:rsidP="00DB3DEC">
      <w:pPr>
        <w:spacing w:after="0" w:line="240" w:lineRule="auto"/>
        <w:rPr>
          <w:rFonts w:ascii="Times New Roman" w:hAnsi="Times New Roman"/>
          <w:iCs/>
          <w:szCs w:val="18"/>
        </w:rPr>
      </w:pPr>
      <w:r w:rsidRPr="006D1426">
        <w:rPr>
          <w:rFonts w:ascii="Times New Roman" w:hAnsi="Times New Roman"/>
        </w:rPr>
        <w:t>Source : Auteurs à partir de données PAPA, 2018.</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 xml:space="preserve">La </w:t>
      </w:r>
      <w:r w:rsidR="00471494">
        <w:rPr>
          <w:rFonts w:ascii="Times New Roman" w:hAnsi="Times New Roman"/>
          <w:sz w:val="24"/>
        </w:rPr>
        <w:t>figure </w:t>
      </w:r>
      <w:r w:rsidR="009C73A0">
        <w:rPr>
          <w:rFonts w:ascii="Times New Roman" w:hAnsi="Times New Roman"/>
          <w:sz w:val="24"/>
        </w:rPr>
        <w:t>8</w:t>
      </w:r>
      <w:r w:rsidRPr="006D1426">
        <w:rPr>
          <w:rFonts w:ascii="Times New Roman" w:hAnsi="Times New Roman"/>
          <w:sz w:val="24"/>
        </w:rPr>
        <w:t xml:space="preserve"> présente les approvisionnements annuels moyens des détaillants de céréales. </w:t>
      </w:r>
      <w:r w:rsidR="00F90D81">
        <w:rPr>
          <w:rFonts w:ascii="Times New Roman" w:hAnsi="Times New Roman"/>
          <w:sz w:val="24"/>
        </w:rPr>
        <w:t>L</w:t>
      </w:r>
      <w:r w:rsidRPr="006D1426">
        <w:rPr>
          <w:rFonts w:ascii="Times New Roman" w:hAnsi="Times New Roman"/>
          <w:sz w:val="24"/>
        </w:rPr>
        <w:t xml:space="preserve">e riz blanc brisé importé vient en première position (27 tonnes) devant les céréales sèches. Il est suivi </w:t>
      </w:r>
      <w:r w:rsidRPr="006D1426">
        <w:rPr>
          <w:rFonts w:ascii="Times New Roman" w:hAnsi="Times New Roman"/>
          <w:sz w:val="24"/>
        </w:rPr>
        <w:lastRenderedPageBreak/>
        <w:t xml:space="preserve">par le mil grain (22 tonnes) et le maïs (13 tonnes). Les produits transformés représentent une faible partie des approvisionnements en intrants des détaillants. Les données montrent que le riz demeure un concurrent des céréales sèches sur le marché. </w:t>
      </w:r>
    </w:p>
    <w:p w:rsidR="006D1426" w:rsidRPr="006D1426" w:rsidRDefault="006D1426" w:rsidP="006D1426">
      <w:pPr>
        <w:keepNext/>
      </w:pPr>
      <w:r w:rsidRPr="006D1426">
        <w:rPr>
          <w:noProof/>
          <w:lang w:eastAsia="fr-FR"/>
        </w:rPr>
        <w:drawing>
          <wp:inline distT="0" distB="0" distL="0" distR="0" wp14:anchorId="40292501" wp14:editId="057D751A">
            <wp:extent cx="5783580" cy="3794760"/>
            <wp:effectExtent l="0" t="0" r="7620" b="15240"/>
            <wp:docPr id="21" name="Graphique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1426" w:rsidRPr="009C73A0" w:rsidRDefault="00F90D81" w:rsidP="00F90D81">
      <w:pPr>
        <w:pStyle w:val="Lgende"/>
        <w:rPr>
          <w:iCs w:val="0"/>
          <w:szCs w:val="24"/>
        </w:rPr>
      </w:pPr>
      <w:bookmarkStart w:id="55" w:name="_Toc1417042"/>
      <w:bookmarkStart w:id="56" w:name="_Toc1484562"/>
      <w:bookmarkStart w:id="57" w:name="_Toc3549266"/>
      <w:bookmarkStart w:id="58" w:name="_Toc34303327"/>
      <w:r w:rsidRPr="00F90D81">
        <w:rPr>
          <w:b/>
        </w:rPr>
        <w:t xml:space="preserve">Figure </w:t>
      </w:r>
      <w:r w:rsidRPr="00F90D81">
        <w:rPr>
          <w:b/>
        </w:rPr>
        <w:fldChar w:fldCharType="begin"/>
      </w:r>
      <w:r w:rsidRPr="00F90D81">
        <w:rPr>
          <w:b/>
        </w:rPr>
        <w:instrText xml:space="preserve"> SEQ Figure \* ARABIC </w:instrText>
      </w:r>
      <w:r w:rsidRPr="00F90D81">
        <w:rPr>
          <w:b/>
        </w:rPr>
        <w:fldChar w:fldCharType="separate"/>
      </w:r>
      <w:r w:rsidR="00900EA8">
        <w:rPr>
          <w:b/>
          <w:noProof/>
        </w:rPr>
        <w:t>8</w:t>
      </w:r>
      <w:r w:rsidRPr="00F90D81">
        <w:rPr>
          <w:b/>
        </w:rPr>
        <w:fldChar w:fldCharType="end"/>
      </w:r>
      <w:r w:rsidR="006D1426" w:rsidRPr="009C73A0">
        <w:rPr>
          <w:iCs w:val="0"/>
          <w:szCs w:val="24"/>
        </w:rPr>
        <w:t>: Approvisionnements en intrants des détaillants (moyennes annuelles</w:t>
      </w:r>
      <w:r w:rsidR="00DB3DEC">
        <w:rPr>
          <w:iCs w:val="0"/>
          <w:szCs w:val="24"/>
        </w:rPr>
        <w:t xml:space="preserve"> en tonnes par détaillant</w:t>
      </w:r>
      <w:r w:rsidR="006D1426" w:rsidRPr="009C73A0">
        <w:rPr>
          <w:iCs w:val="0"/>
          <w:szCs w:val="24"/>
        </w:rPr>
        <w:t>)</w:t>
      </w:r>
      <w:bookmarkEnd w:id="55"/>
      <w:bookmarkEnd w:id="56"/>
      <w:bookmarkEnd w:id="57"/>
      <w:bookmarkEnd w:id="58"/>
    </w:p>
    <w:p w:rsidR="006D1426" w:rsidRPr="006D1426" w:rsidRDefault="006D1426" w:rsidP="009C73A0">
      <w:pPr>
        <w:spacing w:after="0" w:line="240" w:lineRule="auto"/>
        <w:contextualSpacing/>
        <w:jc w:val="both"/>
        <w:rPr>
          <w:rFonts w:ascii="Times New Roman" w:hAnsi="Times New Roman"/>
        </w:rPr>
      </w:pPr>
      <w:r w:rsidRPr="006D1426">
        <w:rPr>
          <w:rFonts w:ascii="Times New Roman" w:hAnsi="Times New Roman"/>
        </w:rPr>
        <w:t>Source : Données PAPA, 2018.</w:t>
      </w:r>
    </w:p>
    <w:p w:rsidR="006D1426" w:rsidRPr="006D1426" w:rsidRDefault="006D1426" w:rsidP="009C73A0">
      <w:pPr>
        <w:pStyle w:val="RapportPAPA"/>
      </w:pPr>
      <w:r w:rsidRPr="006D1426">
        <w:t>Les détaillants achètent des marchandises auprès</w:t>
      </w:r>
      <w:r w:rsidR="009C73A0">
        <w:t xml:space="preserve"> d</w:t>
      </w:r>
      <w:r w:rsidR="00F90D81">
        <w:t>e plusieurs acteurs (tableau 7</w:t>
      </w:r>
      <w:r w:rsidRPr="006D1426">
        <w:t xml:space="preserve">). Ils s’approvisionnent tous auprès d’autres détaillants comme eux. Les grossistes constituent aussi une source d’approvisionnement en intrants pour beaucoup d’entreprises, surtout ceux qui sont implantés hors de Dakar. Selon les observations, seules 3% des détaillants achètent leurs marchandises auprès d’une exploitation agricole. Ainsi, les intrants passent par des intermédiaires ; ce qui peut contribuer à augmenter les coûts et par conséquent le prix final des produits. Les entreprises de transformation fournissent 19% des détaillants. </w:t>
      </w:r>
    </w:p>
    <w:p w:rsidR="006D1426" w:rsidRPr="006D1426" w:rsidRDefault="00F90D81" w:rsidP="00F90D81">
      <w:pPr>
        <w:pStyle w:val="Lgende"/>
        <w:rPr>
          <w:iCs w:val="0"/>
          <w:szCs w:val="24"/>
        </w:rPr>
      </w:pPr>
      <w:bookmarkStart w:id="59" w:name="_Toc1484494"/>
      <w:bookmarkStart w:id="60" w:name="_Toc3549395"/>
      <w:bookmarkStart w:id="61" w:name="_Toc34303304"/>
      <w:r w:rsidRPr="00F90D81">
        <w:rPr>
          <w:b/>
        </w:rPr>
        <w:t xml:space="preserve">Tableau </w:t>
      </w:r>
      <w:r w:rsidRPr="00F90D81">
        <w:rPr>
          <w:b/>
        </w:rPr>
        <w:fldChar w:fldCharType="begin"/>
      </w:r>
      <w:r w:rsidRPr="00F90D81">
        <w:rPr>
          <w:b/>
        </w:rPr>
        <w:instrText xml:space="preserve"> SEQ Tableau \* ARABIC </w:instrText>
      </w:r>
      <w:r w:rsidRPr="00F90D81">
        <w:rPr>
          <w:b/>
        </w:rPr>
        <w:fldChar w:fldCharType="separate"/>
      </w:r>
      <w:r w:rsidR="00900EA8">
        <w:rPr>
          <w:b/>
          <w:noProof/>
        </w:rPr>
        <w:t>7</w:t>
      </w:r>
      <w:r w:rsidRPr="00F90D81">
        <w:rPr>
          <w:b/>
        </w:rPr>
        <w:fldChar w:fldCharType="end"/>
      </w:r>
      <w:r w:rsidR="006D1426" w:rsidRPr="006D1426">
        <w:rPr>
          <w:iCs w:val="0"/>
          <w:szCs w:val="24"/>
        </w:rPr>
        <w:t>: Lieux d'approvisionnement en intrants des détaillants durant le mois précédent l’enquête</w:t>
      </w:r>
      <w:bookmarkEnd w:id="59"/>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9"/>
      </w:tblGrid>
      <w:tr w:rsidR="006D1426" w:rsidRPr="006D1426" w:rsidTr="006D1426">
        <w:trPr>
          <w:trHeight w:val="624"/>
        </w:trPr>
        <w:tc>
          <w:tcPr>
            <w:tcW w:w="2500" w:type="pct"/>
            <w:shd w:val="clear" w:color="auto" w:fill="auto"/>
            <w:hideMark/>
          </w:tcPr>
          <w:p w:rsidR="006D1426" w:rsidRPr="006D1426" w:rsidRDefault="006D1426" w:rsidP="006D1426">
            <w:pPr>
              <w:spacing w:after="0" w:line="240" w:lineRule="auto"/>
              <w:rPr>
                <w:rFonts w:ascii="Times New Roman" w:hAnsi="Times New Roman"/>
                <w:b/>
                <w:bCs/>
                <w:sz w:val="24"/>
                <w:szCs w:val="24"/>
              </w:rPr>
            </w:pPr>
            <w:r w:rsidRPr="006D1426">
              <w:rPr>
                <w:rFonts w:ascii="Times New Roman" w:hAnsi="Times New Roman"/>
                <w:b/>
                <w:bCs/>
                <w:sz w:val="24"/>
                <w:szCs w:val="24"/>
              </w:rPr>
              <w:t>Lieux d'achat (% d'entreprises s'approvisionnant dans ces lieux)</w:t>
            </w:r>
          </w:p>
        </w:tc>
        <w:tc>
          <w:tcPr>
            <w:tcW w:w="2500" w:type="pct"/>
            <w:shd w:val="clear" w:color="auto" w:fill="auto"/>
          </w:tcPr>
          <w:p w:rsidR="006D1426" w:rsidRPr="006D1426" w:rsidRDefault="006D1426" w:rsidP="006D1426">
            <w:pPr>
              <w:spacing w:after="0" w:line="240" w:lineRule="auto"/>
              <w:rPr>
                <w:rFonts w:ascii="Times New Roman" w:hAnsi="Times New Roman"/>
                <w:b/>
                <w:bCs/>
                <w:sz w:val="24"/>
                <w:szCs w:val="24"/>
              </w:rPr>
            </w:pPr>
            <w:r w:rsidRPr="006D1426">
              <w:rPr>
                <w:rFonts w:ascii="Times New Roman" w:hAnsi="Times New Roman"/>
                <w:b/>
                <w:bCs/>
                <w:sz w:val="24"/>
                <w:szCs w:val="24"/>
              </w:rPr>
              <w:t>Proportion de détaillants (n=582)</w:t>
            </w:r>
          </w:p>
        </w:tc>
      </w:tr>
      <w:tr w:rsidR="00F90D81" w:rsidRPr="006D1426" w:rsidTr="008905FF">
        <w:trPr>
          <w:trHeight w:val="312"/>
        </w:trPr>
        <w:tc>
          <w:tcPr>
            <w:tcW w:w="2500" w:type="pct"/>
            <w:shd w:val="clear" w:color="auto" w:fill="auto"/>
            <w:hideMark/>
          </w:tcPr>
          <w:p w:rsidR="00F90D81" w:rsidRPr="006D1426" w:rsidRDefault="00F90D81" w:rsidP="00F90D81">
            <w:pPr>
              <w:spacing w:after="0" w:line="240" w:lineRule="auto"/>
              <w:rPr>
                <w:rFonts w:ascii="Times New Roman" w:hAnsi="Times New Roman"/>
                <w:sz w:val="24"/>
                <w:szCs w:val="24"/>
              </w:rPr>
            </w:pPr>
            <w:r w:rsidRPr="006D1426">
              <w:rPr>
                <w:rFonts w:ascii="Times New Roman" w:hAnsi="Times New Roman"/>
                <w:sz w:val="24"/>
                <w:szCs w:val="24"/>
              </w:rPr>
              <w:t xml:space="preserve">Exploitation </w:t>
            </w:r>
          </w:p>
        </w:tc>
        <w:tc>
          <w:tcPr>
            <w:tcW w:w="2500" w:type="pct"/>
            <w:tcBorders>
              <w:top w:val="single" w:sz="8" w:space="0" w:color="auto"/>
              <w:left w:val="single" w:sz="8" w:space="0" w:color="auto"/>
              <w:bottom w:val="single" w:sz="8" w:space="0" w:color="auto"/>
              <w:right w:val="single" w:sz="8" w:space="0" w:color="auto"/>
            </w:tcBorders>
            <w:shd w:val="clear" w:color="auto" w:fill="auto"/>
            <w:vAlign w:val="center"/>
          </w:tcPr>
          <w:p w:rsidR="00F90D81" w:rsidRPr="00F90D81" w:rsidRDefault="00F90D81" w:rsidP="00F90D81">
            <w:pPr>
              <w:rPr>
                <w:rFonts w:ascii="Times New Roman" w:hAnsi="Times New Roman" w:cs="Times New Roman"/>
                <w:color w:val="000000"/>
                <w:sz w:val="24"/>
                <w:szCs w:val="24"/>
              </w:rPr>
            </w:pPr>
            <w:r w:rsidRPr="00F90D81">
              <w:rPr>
                <w:rFonts w:ascii="Times New Roman" w:hAnsi="Times New Roman" w:cs="Times New Roman"/>
                <w:color w:val="000000"/>
                <w:sz w:val="24"/>
                <w:szCs w:val="24"/>
              </w:rPr>
              <w:t>3</w:t>
            </w:r>
          </w:p>
        </w:tc>
      </w:tr>
      <w:tr w:rsidR="00F90D81" w:rsidRPr="006D1426" w:rsidTr="008905FF">
        <w:trPr>
          <w:trHeight w:val="312"/>
        </w:trPr>
        <w:tc>
          <w:tcPr>
            <w:tcW w:w="2500" w:type="pct"/>
            <w:shd w:val="clear" w:color="auto" w:fill="auto"/>
            <w:hideMark/>
          </w:tcPr>
          <w:p w:rsidR="00F90D81" w:rsidRPr="006D1426" w:rsidRDefault="00F90D81" w:rsidP="00F90D81">
            <w:pPr>
              <w:spacing w:after="0" w:line="240" w:lineRule="auto"/>
              <w:rPr>
                <w:rFonts w:ascii="Times New Roman" w:hAnsi="Times New Roman"/>
                <w:sz w:val="24"/>
                <w:szCs w:val="24"/>
              </w:rPr>
            </w:pPr>
            <w:r w:rsidRPr="006D1426">
              <w:rPr>
                <w:rFonts w:ascii="Times New Roman" w:hAnsi="Times New Roman"/>
                <w:sz w:val="24"/>
                <w:szCs w:val="24"/>
              </w:rPr>
              <w:t xml:space="preserve">Marché de grossistes à Dakar </w:t>
            </w:r>
          </w:p>
        </w:tc>
        <w:tc>
          <w:tcPr>
            <w:tcW w:w="2500" w:type="pct"/>
            <w:tcBorders>
              <w:top w:val="nil"/>
              <w:left w:val="single" w:sz="8" w:space="0" w:color="auto"/>
              <w:bottom w:val="single" w:sz="8" w:space="0" w:color="auto"/>
              <w:right w:val="single" w:sz="8" w:space="0" w:color="auto"/>
            </w:tcBorders>
            <w:shd w:val="clear" w:color="auto" w:fill="auto"/>
            <w:vAlign w:val="center"/>
          </w:tcPr>
          <w:p w:rsidR="00F90D81" w:rsidRPr="00F90D81" w:rsidRDefault="00F90D81" w:rsidP="00F90D81">
            <w:pPr>
              <w:rPr>
                <w:rFonts w:ascii="Times New Roman" w:hAnsi="Times New Roman" w:cs="Times New Roman"/>
                <w:color w:val="000000"/>
                <w:sz w:val="24"/>
                <w:szCs w:val="24"/>
              </w:rPr>
            </w:pPr>
            <w:r w:rsidRPr="00F90D81">
              <w:rPr>
                <w:rFonts w:ascii="Times New Roman" w:hAnsi="Times New Roman" w:cs="Times New Roman"/>
                <w:color w:val="000000"/>
                <w:sz w:val="24"/>
                <w:szCs w:val="24"/>
              </w:rPr>
              <w:t>38</w:t>
            </w:r>
          </w:p>
        </w:tc>
      </w:tr>
      <w:tr w:rsidR="00F90D81" w:rsidRPr="006D1426" w:rsidTr="008905FF">
        <w:trPr>
          <w:trHeight w:val="312"/>
        </w:trPr>
        <w:tc>
          <w:tcPr>
            <w:tcW w:w="2500" w:type="pct"/>
            <w:shd w:val="clear" w:color="auto" w:fill="auto"/>
            <w:hideMark/>
          </w:tcPr>
          <w:p w:rsidR="00F90D81" w:rsidRPr="006D1426" w:rsidRDefault="00F90D81" w:rsidP="00F90D81">
            <w:pPr>
              <w:spacing w:after="0" w:line="240" w:lineRule="auto"/>
              <w:rPr>
                <w:rFonts w:ascii="Times New Roman" w:hAnsi="Times New Roman"/>
                <w:sz w:val="24"/>
                <w:szCs w:val="24"/>
              </w:rPr>
            </w:pPr>
            <w:r w:rsidRPr="006D1426">
              <w:rPr>
                <w:rFonts w:ascii="Times New Roman" w:hAnsi="Times New Roman"/>
                <w:sz w:val="24"/>
                <w:szCs w:val="24"/>
              </w:rPr>
              <w:lastRenderedPageBreak/>
              <w:t xml:space="preserve">Grossistes autres centres urbains </w:t>
            </w:r>
          </w:p>
        </w:tc>
        <w:tc>
          <w:tcPr>
            <w:tcW w:w="2500" w:type="pct"/>
            <w:tcBorders>
              <w:top w:val="nil"/>
              <w:left w:val="single" w:sz="8" w:space="0" w:color="auto"/>
              <w:bottom w:val="single" w:sz="8" w:space="0" w:color="auto"/>
              <w:right w:val="single" w:sz="8" w:space="0" w:color="auto"/>
            </w:tcBorders>
            <w:shd w:val="clear" w:color="auto" w:fill="auto"/>
            <w:vAlign w:val="center"/>
          </w:tcPr>
          <w:p w:rsidR="00F90D81" w:rsidRPr="00F90D81" w:rsidRDefault="00F90D81" w:rsidP="00F90D81">
            <w:pPr>
              <w:rPr>
                <w:rFonts w:ascii="Times New Roman" w:hAnsi="Times New Roman" w:cs="Times New Roman"/>
                <w:color w:val="000000"/>
                <w:sz w:val="24"/>
                <w:szCs w:val="24"/>
              </w:rPr>
            </w:pPr>
            <w:r w:rsidRPr="00F90D81">
              <w:rPr>
                <w:rFonts w:ascii="Times New Roman" w:hAnsi="Times New Roman" w:cs="Times New Roman"/>
                <w:color w:val="000000"/>
                <w:sz w:val="24"/>
                <w:szCs w:val="24"/>
              </w:rPr>
              <w:t>48</w:t>
            </w:r>
          </w:p>
        </w:tc>
      </w:tr>
      <w:tr w:rsidR="00F90D81" w:rsidRPr="006D1426" w:rsidTr="008905FF">
        <w:trPr>
          <w:trHeight w:val="312"/>
        </w:trPr>
        <w:tc>
          <w:tcPr>
            <w:tcW w:w="2500" w:type="pct"/>
            <w:shd w:val="clear" w:color="auto" w:fill="auto"/>
            <w:noWrap/>
            <w:hideMark/>
          </w:tcPr>
          <w:p w:rsidR="00F90D81" w:rsidRPr="006D1426" w:rsidRDefault="00F90D81" w:rsidP="00F90D81">
            <w:pPr>
              <w:spacing w:after="0" w:line="240" w:lineRule="auto"/>
              <w:rPr>
                <w:rFonts w:ascii="Times New Roman" w:hAnsi="Times New Roman"/>
                <w:sz w:val="24"/>
                <w:szCs w:val="24"/>
              </w:rPr>
            </w:pPr>
            <w:r w:rsidRPr="006D1426">
              <w:rPr>
                <w:rFonts w:ascii="Times New Roman" w:hAnsi="Times New Roman"/>
                <w:sz w:val="24"/>
                <w:szCs w:val="24"/>
              </w:rPr>
              <w:t xml:space="preserve">Détaillants à Dakar </w:t>
            </w:r>
          </w:p>
        </w:tc>
        <w:tc>
          <w:tcPr>
            <w:tcW w:w="2500" w:type="pct"/>
            <w:tcBorders>
              <w:top w:val="nil"/>
              <w:left w:val="single" w:sz="8" w:space="0" w:color="auto"/>
              <w:bottom w:val="single" w:sz="8" w:space="0" w:color="auto"/>
              <w:right w:val="single" w:sz="8" w:space="0" w:color="auto"/>
            </w:tcBorders>
            <w:shd w:val="clear" w:color="auto" w:fill="auto"/>
            <w:vAlign w:val="center"/>
          </w:tcPr>
          <w:p w:rsidR="00F90D81" w:rsidRPr="00F90D81" w:rsidRDefault="00F90D81" w:rsidP="00F90D81">
            <w:pPr>
              <w:rPr>
                <w:rFonts w:ascii="Times New Roman" w:hAnsi="Times New Roman" w:cs="Times New Roman"/>
                <w:color w:val="000000"/>
                <w:sz w:val="24"/>
                <w:szCs w:val="24"/>
              </w:rPr>
            </w:pPr>
            <w:r w:rsidRPr="00F90D81">
              <w:rPr>
                <w:rFonts w:ascii="Times New Roman" w:hAnsi="Times New Roman" w:cs="Times New Roman"/>
                <w:color w:val="000000"/>
                <w:sz w:val="24"/>
                <w:szCs w:val="24"/>
              </w:rPr>
              <w:t>100</w:t>
            </w:r>
          </w:p>
        </w:tc>
      </w:tr>
      <w:tr w:rsidR="00F90D81" w:rsidRPr="006D1426" w:rsidTr="008905FF">
        <w:trPr>
          <w:trHeight w:val="312"/>
        </w:trPr>
        <w:tc>
          <w:tcPr>
            <w:tcW w:w="2500" w:type="pct"/>
            <w:shd w:val="clear" w:color="auto" w:fill="auto"/>
            <w:noWrap/>
            <w:hideMark/>
          </w:tcPr>
          <w:p w:rsidR="00F90D81" w:rsidRPr="006D1426" w:rsidRDefault="00F90D81" w:rsidP="00F90D81">
            <w:pPr>
              <w:spacing w:after="0" w:line="240" w:lineRule="auto"/>
              <w:rPr>
                <w:rFonts w:ascii="Times New Roman" w:hAnsi="Times New Roman"/>
                <w:sz w:val="24"/>
                <w:szCs w:val="24"/>
              </w:rPr>
            </w:pPr>
            <w:r w:rsidRPr="006D1426">
              <w:rPr>
                <w:rFonts w:ascii="Times New Roman" w:hAnsi="Times New Roman"/>
                <w:sz w:val="24"/>
                <w:szCs w:val="24"/>
              </w:rPr>
              <w:t xml:space="preserve">Détaillants autres centres urbains </w:t>
            </w:r>
          </w:p>
        </w:tc>
        <w:tc>
          <w:tcPr>
            <w:tcW w:w="2500" w:type="pct"/>
            <w:tcBorders>
              <w:top w:val="nil"/>
              <w:left w:val="single" w:sz="8" w:space="0" w:color="auto"/>
              <w:bottom w:val="single" w:sz="8" w:space="0" w:color="auto"/>
              <w:right w:val="single" w:sz="8" w:space="0" w:color="auto"/>
            </w:tcBorders>
            <w:shd w:val="clear" w:color="auto" w:fill="auto"/>
            <w:vAlign w:val="center"/>
          </w:tcPr>
          <w:p w:rsidR="00F90D81" w:rsidRPr="00F90D81" w:rsidRDefault="00F90D81" w:rsidP="00F90D81">
            <w:pPr>
              <w:rPr>
                <w:rFonts w:ascii="Times New Roman" w:hAnsi="Times New Roman" w:cs="Times New Roman"/>
                <w:color w:val="000000"/>
                <w:sz w:val="24"/>
                <w:szCs w:val="24"/>
              </w:rPr>
            </w:pPr>
            <w:r w:rsidRPr="00F90D81">
              <w:rPr>
                <w:rFonts w:ascii="Times New Roman" w:hAnsi="Times New Roman" w:cs="Times New Roman"/>
                <w:color w:val="000000"/>
                <w:sz w:val="24"/>
                <w:szCs w:val="24"/>
              </w:rPr>
              <w:t>28</w:t>
            </w:r>
          </w:p>
        </w:tc>
      </w:tr>
      <w:tr w:rsidR="00F90D81" w:rsidRPr="006D1426" w:rsidTr="008905FF">
        <w:trPr>
          <w:trHeight w:val="312"/>
        </w:trPr>
        <w:tc>
          <w:tcPr>
            <w:tcW w:w="2500" w:type="pct"/>
            <w:shd w:val="clear" w:color="auto" w:fill="auto"/>
            <w:noWrap/>
            <w:hideMark/>
          </w:tcPr>
          <w:p w:rsidR="00F90D81" w:rsidRPr="006D1426" w:rsidRDefault="00F90D81" w:rsidP="00F90D81">
            <w:pPr>
              <w:spacing w:after="0" w:line="240" w:lineRule="auto"/>
              <w:rPr>
                <w:rFonts w:ascii="Times New Roman" w:hAnsi="Times New Roman"/>
                <w:sz w:val="24"/>
                <w:szCs w:val="24"/>
              </w:rPr>
            </w:pPr>
            <w:r w:rsidRPr="006D1426">
              <w:rPr>
                <w:rFonts w:ascii="Times New Roman" w:hAnsi="Times New Roman"/>
                <w:sz w:val="24"/>
                <w:szCs w:val="24"/>
              </w:rPr>
              <w:t xml:space="preserve">Entreprises de transformation </w:t>
            </w:r>
          </w:p>
        </w:tc>
        <w:tc>
          <w:tcPr>
            <w:tcW w:w="2500" w:type="pct"/>
            <w:tcBorders>
              <w:top w:val="nil"/>
              <w:left w:val="single" w:sz="8" w:space="0" w:color="auto"/>
              <w:bottom w:val="single" w:sz="8" w:space="0" w:color="auto"/>
              <w:right w:val="single" w:sz="8" w:space="0" w:color="auto"/>
            </w:tcBorders>
            <w:shd w:val="clear" w:color="auto" w:fill="auto"/>
            <w:vAlign w:val="center"/>
          </w:tcPr>
          <w:p w:rsidR="00F90D81" w:rsidRPr="00F90D81" w:rsidRDefault="00F90D81" w:rsidP="00F90D81">
            <w:pPr>
              <w:rPr>
                <w:rFonts w:ascii="Times New Roman" w:hAnsi="Times New Roman" w:cs="Times New Roman"/>
                <w:color w:val="000000"/>
                <w:sz w:val="24"/>
                <w:szCs w:val="24"/>
              </w:rPr>
            </w:pPr>
            <w:r w:rsidRPr="00F90D81">
              <w:rPr>
                <w:rFonts w:ascii="Times New Roman" w:hAnsi="Times New Roman" w:cs="Times New Roman"/>
                <w:color w:val="000000"/>
                <w:sz w:val="24"/>
                <w:szCs w:val="24"/>
              </w:rPr>
              <w:t>19</w:t>
            </w:r>
          </w:p>
        </w:tc>
      </w:tr>
      <w:tr w:rsidR="00F90D81" w:rsidRPr="006D1426" w:rsidTr="008905FF">
        <w:trPr>
          <w:trHeight w:val="315"/>
        </w:trPr>
        <w:tc>
          <w:tcPr>
            <w:tcW w:w="2500" w:type="pct"/>
            <w:shd w:val="clear" w:color="auto" w:fill="auto"/>
            <w:noWrap/>
            <w:hideMark/>
          </w:tcPr>
          <w:p w:rsidR="00F90D81" w:rsidRPr="006D1426" w:rsidRDefault="00F90D81" w:rsidP="00F90D81">
            <w:pPr>
              <w:spacing w:after="0" w:line="240" w:lineRule="auto"/>
              <w:rPr>
                <w:rFonts w:ascii="Times New Roman" w:hAnsi="Times New Roman"/>
                <w:sz w:val="24"/>
                <w:szCs w:val="24"/>
              </w:rPr>
            </w:pPr>
            <w:r w:rsidRPr="006D1426">
              <w:rPr>
                <w:rFonts w:ascii="Times New Roman" w:hAnsi="Times New Roman"/>
                <w:sz w:val="24"/>
                <w:szCs w:val="24"/>
              </w:rPr>
              <w:t xml:space="preserve">Supermarché </w:t>
            </w:r>
          </w:p>
        </w:tc>
        <w:tc>
          <w:tcPr>
            <w:tcW w:w="2500" w:type="pct"/>
            <w:tcBorders>
              <w:top w:val="nil"/>
              <w:left w:val="single" w:sz="8" w:space="0" w:color="auto"/>
              <w:bottom w:val="single" w:sz="8" w:space="0" w:color="auto"/>
              <w:right w:val="single" w:sz="8" w:space="0" w:color="auto"/>
            </w:tcBorders>
            <w:shd w:val="clear" w:color="auto" w:fill="auto"/>
            <w:vAlign w:val="center"/>
          </w:tcPr>
          <w:p w:rsidR="00F90D81" w:rsidRPr="00F90D81" w:rsidRDefault="00F90D81" w:rsidP="00F90D81">
            <w:pPr>
              <w:rPr>
                <w:rFonts w:ascii="Times New Roman" w:hAnsi="Times New Roman" w:cs="Times New Roman"/>
                <w:color w:val="000000"/>
                <w:sz w:val="24"/>
                <w:szCs w:val="24"/>
              </w:rPr>
            </w:pPr>
            <w:r w:rsidRPr="00F90D81">
              <w:rPr>
                <w:rFonts w:ascii="Times New Roman" w:hAnsi="Times New Roman" w:cs="Times New Roman"/>
                <w:color w:val="000000"/>
                <w:sz w:val="24"/>
                <w:szCs w:val="24"/>
              </w:rPr>
              <w:t>1</w:t>
            </w:r>
          </w:p>
        </w:tc>
      </w:tr>
      <w:tr w:rsidR="00F90D81" w:rsidRPr="006D1426" w:rsidTr="008905FF">
        <w:trPr>
          <w:trHeight w:val="312"/>
        </w:trPr>
        <w:tc>
          <w:tcPr>
            <w:tcW w:w="2500" w:type="pct"/>
            <w:shd w:val="clear" w:color="auto" w:fill="auto"/>
            <w:noWrap/>
            <w:hideMark/>
          </w:tcPr>
          <w:p w:rsidR="00F90D81" w:rsidRPr="006D1426" w:rsidRDefault="00F90D81" w:rsidP="00F90D81">
            <w:pPr>
              <w:spacing w:after="0" w:line="240" w:lineRule="auto"/>
              <w:rPr>
                <w:rFonts w:ascii="Times New Roman" w:hAnsi="Times New Roman"/>
                <w:sz w:val="24"/>
                <w:szCs w:val="24"/>
              </w:rPr>
            </w:pPr>
            <w:r w:rsidRPr="006D1426">
              <w:rPr>
                <w:rFonts w:ascii="Times New Roman" w:hAnsi="Times New Roman"/>
                <w:sz w:val="24"/>
                <w:szCs w:val="24"/>
              </w:rPr>
              <w:t xml:space="preserve">Autres  </w:t>
            </w:r>
          </w:p>
        </w:tc>
        <w:tc>
          <w:tcPr>
            <w:tcW w:w="2500" w:type="pct"/>
            <w:tcBorders>
              <w:top w:val="nil"/>
              <w:left w:val="single" w:sz="8" w:space="0" w:color="auto"/>
              <w:bottom w:val="single" w:sz="8" w:space="0" w:color="auto"/>
              <w:right w:val="single" w:sz="8" w:space="0" w:color="auto"/>
            </w:tcBorders>
            <w:shd w:val="clear" w:color="auto" w:fill="auto"/>
            <w:vAlign w:val="center"/>
          </w:tcPr>
          <w:p w:rsidR="00F90D81" w:rsidRPr="00F90D81" w:rsidRDefault="00F90D81" w:rsidP="00F90D81">
            <w:pPr>
              <w:rPr>
                <w:rFonts w:ascii="Times New Roman" w:hAnsi="Times New Roman" w:cs="Times New Roman"/>
                <w:color w:val="000000"/>
                <w:sz w:val="24"/>
                <w:szCs w:val="24"/>
              </w:rPr>
            </w:pPr>
            <w:r w:rsidRPr="00F90D81">
              <w:rPr>
                <w:rFonts w:ascii="Times New Roman" w:hAnsi="Times New Roman" w:cs="Times New Roman"/>
                <w:color w:val="000000"/>
                <w:sz w:val="24"/>
                <w:szCs w:val="24"/>
              </w:rPr>
              <w:t>3</w:t>
            </w:r>
          </w:p>
        </w:tc>
      </w:tr>
    </w:tbl>
    <w:p w:rsidR="006D1426" w:rsidRPr="006D1426" w:rsidRDefault="006D1426" w:rsidP="006D1426">
      <w:pPr>
        <w:spacing w:after="0"/>
        <w:rPr>
          <w:rFonts w:ascii="Times New Roman" w:hAnsi="Times New Roman"/>
        </w:rPr>
      </w:pPr>
      <w:r w:rsidRPr="006D1426">
        <w:rPr>
          <w:rFonts w:ascii="Times New Roman" w:hAnsi="Times New Roman"/>
        </w:rPr>
        <w:t>Source : Données PAPA, 2018</w:t>
      </w:r>
    </w:p>
    <w:p w:rsidR="006D1426" w:rsidRPr="006D1426" w:rsidRDefault="006D1426" w:rsidP="006D1426">
      <w:pPr>
        <w:spacing w:after="0"/>
        <w:rPr>
          <w:rFonts w:ascii="Times New Roman" w:hAnsi="Times New Roman"/>
        </w:rPr>
      </w:pPr>
      <w:r w:rsidRPr="006D1426">
        <w:rPr>
          <w:rFonts w:ascii="Times New Roman" w:hAnsi="Times New Roman"/>
        </w:rPr>
        <w:t>Note : les proportions sont calculées à partir d’une question à choix multiple.</w:t>
      </w:r>
    </w:p>
    <w:p w:rsidR="006D1426" w:rsidRPr="006D1426" w:rsidRDefault="00F90D81" w:rsidP="006D1426">
      <w:pPr>
        <w:spacing w:before="120" w:after="120" w:line="360" w:lineRule="auto"/>
        <w:jc w:val="both"/>
        <w:rPr>
          <w:rFonts w:ascii="Times New Roman" w:hAnsi="Times New Roman"/>
          <w:sz w:val="24"/>
        </w:rPr>
      </w:pPr>
      <w:r>
        <w:rPr>
          <w:rFonts w:ascii="Times New Roman" w:hAnsi="Times New Roman"/>
          <w:sz w:val="24"/>
        </w:rPr>
        <w:t>Le tableau 8</w:t>
      </w:r>
      <w:r w:rsidR="006D1426" w:rsidRPr="006D1426">
        <w:rPr>
          <w:rFonts w:ascii="Times New Roman" w:hAnsi="Times New Roman"/>
          <w:sz w:val="24"/>
        </w:rPr>
        <w:t xml:space="preserve"> montre les contraintes à l’accès aux marchandises non transformées. Elles varient en fonction des produits. En effet, 44% des vendeurs de fonio grain estiment ne pas accéder au produit à chaque fois qu’ils en ont besoin, contre 11% pour le mil. Cette forte proportion s’explique par la faiblesse de la production de fonio grain, en outre celle-ci est très localisée car provenant pri</w:t>
      </w:r>
      <w:r>
        <w:rPr>
          <w:rFonts w:ascii="Times New Roman" w:hAnsi="Times New Roman"/>
          <w:sz w:val="24"/>
        </w:rPr>
        <w:t>ncipalement des régions de Kédougou</w:t>
      </w:r>
      <w:r w:rsidR="006D1426" w:rsidRPr="006D1426">
        <w:rPr>
          <w:rFonts w:ascii="Times New Roman" w:hAnsi="Times New Roman"/>
          <w:sz w:val="24"/>
        </w:rPr>
        <w:t xml:space="preserve"> et </w:t>
      </w:r>
      <w:proofErr w:type="spellStart"/>
      <w:r w:rsidR="006D1426" w:rsidRPr="006D1426">
        <w:rPr>
          <w:rFonts w:ascii="Times New Roman" w:hAnsi="Times New Roman"/>
          <w:sz w:val="24"/>
        </w:rPr>
        <w:t>Sédhiou</w:t>
      </w:r>
      <w:proofErr w:type="spellEnd"/>
      <w:r w:rsidR="006D1426" w:rsidRPr="006D1426">
        <w:rPr>
          <w:rFonts w:ascii="Times New Roman" w:hAnsi="Times New Roman"/>
          <w:sz w:val="24"/>
        </w:rPr>
        <w:t xml:space="preserve">. Le maïs grain est le produit avec la moindre proportion de détaillants qui ont des difficultés pour s’approvisionner. C’est une spéculation dont l’offre locale est complétée par les importations provenant principalement de l’Argentine et des pays de la sous-région comme le Mali et le Burkina-Faso. </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Les raisons de l’inaccessibilité varient aussi en fonction des produits. Pour toutes les spéculations excepté le fonio, c’est l’insuffisance de l’offre à certaines périodes qui vient en première position. Pour le fonio, c’est plutôt la qualité insatisfaisante citée par 100% des détaillants ayant des difficultés d’accès à ce produit. Cela résulte du fait que le décorticage du fonio est souvent mal exécuté par manque de machines adéquates. Certes dans le cadre du Projet Productivité Agricole en Afrique de l’Ouest (PPAAO/WAAPP) des décortiqueuses ont été diffusées mais la quantité reste encore insuffisante et le prix inaccessible pour certains acteurs de la filière. Ainsi, avec le décorticage traditionnel qui est assez pénible, des impuretés se retrouvent dans le produit final.</w:t>
      </w:r>
    </w:p>
    <w:p w:rsidR="006D1426" w:rsidRPr="006D1426" w:rsidRDefault="00F90D81" w:rsidP="00F90D81">
      <w:pPr>
        <w:pStyle w:val="Lgende"/>
        <w:rPr>
          <w:iCs w:val="0"/>
          <w:szCs w:val="24"/>
        </w:rPr>
      </w:pPr>
      <w:bookmarkStart w:id="62" w:name="_Toc1484495"/>
      <w:bookmarkStart w:id="63" w:name="_Toc3549396"/>
      <w:bookmarkStart w:id="64" w:name="_Toc34303305"/>
      <w:r w:rsidRPr="00F90D81">
        <w:rPr>
          <w:b/>
        </w:rPr>
        <w:t xml:space="preserve">Tableau </w:t>
      </w:r>
      <w:r w:rsidRPr="00F90D81">
        <w:rPr>
          <w:b/>
        </w:rPr>
        <w:fldChar w:fldCharType="begin"/>
      </w:r>
      <w:r w:rsidRPr="00F90D81">
        <w:rPr>
          <w:b/>
        </w:rPr>
        <w:instrText xml:space="preserve"> SEQ Tableau \* ARABIC </w:instrText>
      </w:r>
      <w:r w:rsidRPr="00F90D81">
        <w:rPr>
          <w:b/>
        </w:rPr>
        <w:fldChar w:fldCharType="separate"/>
      </w:r>
      <w:r w:rsidR="00900EA8">
        <w:rPr>
          <w:b/>
          <w:noProof/>
        </w:rPr>
        <w:t>8</w:t>
      </w:r>
      <w:r w:rsidRPr="00F90D81">
        <w:rPr>
          <w:b/>
        </w:rPr>
        <w:fldChar w:fldCharType="end"/>
      </w:r>
      <w:r w:rsidR="006D1426" w:rsidRPr="006D1426">
        <w:rPr>
          <w:b/>
          <w:iCs w:val="0"/>
          <w:szCs w:val="24"/>
        </w:rPr>
        <w:t xml:space="preserve">: </w:t>
      </w:r>
      <w:r w:rsidR="006D1426" w:rsidRPr="006D1426">
        <w:rPr>
          <w:iCs w:val="0"/>
          <w:szCs w:val="24"/>
        </w:rPr>
        <w:t>Contraintes d'accès aux marchandises</w:t>
      </w:r>
      <w:bookmarkEnd w:id="62"/>
      <w:bookmarkEnd w:id="63"/>
      <w:bookmarkEnd w:id="64"/>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24"/>
        <w:gridCol w:w="1411"/>
        <w:gridCol w:w="1649"/>
        <w:gridCol w:w="1503"/>
        <w:gridCol w:w="1475"/>
      </w:tblGrid>
      <w:tr w:rsidR="006D1426" w:rsidRPr="006D1426" w:rsidTr="006D1426">
        <w:trPr>
          <w:trHeight w:val="288"/>
        </w:trPr>
        <w:tc>
          <w:tcPr>
            <w:tcW w:w="16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p>
        </w:tc>
        <w:tc>
          <w:tcPr>
            <w:tcW w:w="3375" w:type="pct"/>
            <w:gridSpan w:val="4"/>
            <w:shd w:val="clear" w:color="auto" w:fill="auto"/>
            <w:noWrap/>
            <w:hideMark/>
          </w:tcPr>
          <w:p w:rsidR="006D1426" w:rsidRPr="006D1426" w:rsidRDefault="006D1426" w:rsidP="006D1426">
            <w:pPr>
              <w:spacing w:before="120" w:after="120" w:line="360" w:lineRule="auto"/>
              <w:jc w:val="center"/>
              <w:rPr>
                <w:rFonts w:ascii="Times New Roman" w:hAnsi="Times New Roman"/>
                <w:sz w:val="24"/>
              </w:rPr>
            </w:pPr>
            <w:r w:rsidRPr="006D1426">
              <w:rPr>
                <w:rFonts w:ascii="Times New Roman" w:hAnsi="Times New Roman"/>
                <w:sz w:val="24"/>
              </w:rPr>
              <w:t>Proportion de détaillants</w:t>
            </w:r>
          </w:p>
        </w:tc>
      </w:tr>
      <w:tr w:rsidR="006D1426" w:rsidRPr="006D1426" w:rsidTr="006D1426">
        <w:trPr>
          <w:trHeight w:val="787"/>
        </w:trPr>
        <w:tc>
          <w:tcPr>
            <w:tcW w:w="16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 xml:space="preserve">Facilité d'accès aux produits </w:t>
            </w:r>
          </w:p>
        </w:tc>
        <w:tc>
          <w:tcPr>
            <w:tcW w:w="78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Mil grain (n=344)</w:t>
            </w:r>
          </w:p>
        </w:tc>
        <w:tc>
          <w:tcPr>
            <w:tcW w:w="924"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Sorgho grain (n=109)</w:t>
            </w:r>
          </w:p>
        </w:tc>
        <w:tc>
          <w:tcPr>
            <w:tcW w:w="840"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Mais grain (n=287)</w:t>
            </w:r>
          </w:p>
        </w:tc>
        <w:tc>
          <w:tcPr>
            <w:tcW w:w="8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Fonio grain (n=18)</w:t>
            </w:r>
          </w:p>
        </w:tc>
      </w:tr>
      <w:tr w:rsidR="006D1426" w:rsidRPr="006D1426" w:rsidTr="006D1426">
        <w:trPr>
          <w:trHeight w:val="487"/>
        </w:trPr>
        <w:tc>
          <w:tcPr>
            <w:tcW w:w="16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Oui</w:t>
            </w:r>
          </w:p>
        </w:tc>
        <w:tc>
          <w:tcPr>
            <w:tcW w:w="78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89,0</w:t>
            </w:r>
          </w:p>
        </w:tc>
        <w:tc>
          <w:tcPr>
            <w:tcW w:w="924"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80,7</w:t>
            </w:r>
          </w:p>
        </w:tc>
        <w:tc>
          <w:tcPr>
            <w:tcW w:w="840"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92,0</w:t>
            </w:r>
          </w:p>
        </w:tc>
        <w:tc>
          <w:tcPr>
            <w:tcW w:w="8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55,6</w:t>
            </w:r>
          </w:p>
        </w:tc>
      </w:tr>
      <w:tr w:rsidR="006D1426" w:rsidRPr="006D1426" w:rsidTr="006D1426">
        <w:trPr>
          <w:trHeight w:val="397"/>
        </w:trPr>
        <w:tc>
          <w:tcPr>
            <w:tcW w:w="16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lastRenderedPageBreak/>
              <w:t>Non</w:t>
            </w:r>
          </w:p>
        </w:tc>
        <w:tc>
          <w:tcPr>
            <w:tcW w:w="78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11,0</w:t>
            </w:r>
          </w:p>
        </w:tc>
        <w:tc>
          <w:tcPr>
            <w:tcW w:w="924"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19,3</w:t>
            </w:r>
          </w:p>
        </w:tc>
        <w:tc>
          <w:tcPr>
            <w:tcW w:w="840"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8,0</w:t>
            </w:r>
          </w:p>
        </w:tc>
        <w:tc>
          <w:tcPr>
            <w:tcW w:w="8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44,4</w:t>
            </w:r>
          </w:p>
        </w:tc>
      </w:tr>
      <w:tr w:rsidR="006D1426" w:rsidRPr="006D1426" w:rsidTr="006D1426">
        <w:trPr>
          <w:trHeight w:val="434"/>
        </w:trPr>
        <w:tc>
          <w:tcPr>
            <w:tcW w:w="16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Total</w:t>
            </w:r>
          </w:p>
        </w:tc>
        <w:tc>
          <w:tcPr>
            <w:tcW w:w="78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100</w:t>
            </w:r>
          </w:p>
        </w:tc>
        <w:tc>
          <w:tcPr>
            <w:tcW w:w="924"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100</w:t>
            </w:r>
          </w:p>
        </w:tc>
        <w:tc>
          <w:tcPr>
            <w:tcW w:w="840"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100</w:t>
            </w:r>
          </w:p>
        </w:tc>
        <w:tc>
          <w:tcPr>
            <w:tcW w:w="8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100</w:t>
            </w:r>
          </w:p>
        </w:tc>
      </w:tr>
      <w:tr w:rsidR="006D1426" w:rsidRPr="006D1426" w:rsidTr="006D1426">
        <w:trPr>
          <w:trHeight w:val="770"/>
        </w:trPr>
        <w:tc>
          <w:tcPr>
            <w:tcW w:w="16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 xml:space="preserve">Raisons d'inaccessibilité aux produits </w:t>
            </w:r>
          </w:p>
        </w:tc>
        <w:tc>
          <w:tcPr>
            <w:tcW w:w="78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Mil grain (n=38)</w:t>
            </w:r>
          </w:p>
        </w:tc>
        <w:tc>
          <w:tcPr>
            <w:tcW w:w="924"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Sorgho grain (n=21)</w:t>
            </w:r>
          </w:p>
        </w:tc>
        <w:tc>
          <w:tcPr>
            <w:tcW w:w="840"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Mais grain (n=23)</w:t>
            </w:r>
          </w:p>
        </w:tc>
        <w:tc>
          <w:tcPr>
            <w:tcW w:w="8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Fonio grain (n=8)</w:t>
            </w:r>
          </w:p>
        </w:tc>
      </w:tr>
      <w:tr w:rsidR="006D1426" w:rsidRPr="006D1426" w:rsidTr="006D1426">
        <w:trPr>
          <w:trHeight w:val="288"/>
        </w:trPr>
        <w:tc>
          <w:tcPr>
            <w:tcW w:w="16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Offre insuffisante à certaines périodes</w:t>
            </w:r>
          </w:p>
        </w:tc>
        <w:tc>
          <w:tcPr>
            <w:tcW w:w="78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81,6</w:t>
            </w:r>
          </w:p>
        </w:tc>
        <w:tc>
          <w:tcPr>
            <w:tcW w:w="924"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71,4</w:t>
            </w:r>
          </w:p>
        </w:tc>
        <w:tc>
          <w:tcPr>
            <w:tcW w:w="840"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82,6</w:t>
            </w:r>
          </w:p>
        </w:tc>
        <w:tc>
          <w:tcPr>
            <w:tcW w:w="8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25,0</w:t>
            </w:r>
          </w:p>
        </w:tc>
      </w:tr>
      <w:tr w:rsidR="006D1426" w:rsidRPr="006D1426" w:rsidTr="006D1426">
        <w:trPr>
          <w:trHeight w:val="288"/>
        </w:trPr>
        <w:tc>
          <w:tcPr>
            <w:tcW w:w="16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Prix trop élevé à certaines périodes</w:t>
            </w:r>
          </w:p>
        </w:tc>
        <w:tc>
          <w:tcPr>
            <w:tcW w:w="78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60,5</w:t>
            </w:r>
          </w:p>
        </w:tc>
        <w:tc>
          <w:tcPr>
            <w:tcW w:w="924"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57,1</w:t>
            </w:r>
          </w:p>
        </w:tc>
        <w:tc>
          <w:tcPr>
            <w:tcW w:w="840"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65,2</w:t>
            </w:r>
          </w:p>
        </w:tc>
        <w:tc>
          <w:tcPr>
            <w:tcW w:w="8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75,0</w:t>
            </w:r>
          </w:p>
        </w:tc>
      </w:tr>
      <w:tr w:rsidR="006D1426" w:rsidRPr="006D1426" w:rsidTr="006D1426">
        <w:trPr>
          <w:trHeight w:val="288"/>
        </w:trPr>
        <w:tc>
          <w:tcPr>
            <w:tcW w:w="16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 xml:space="preserve">Qualité insatisfaisante à certaines périodes </w:t>
            </w:r>
          </w:p>
        </w:tc>
        <w:tc>
          <w:tcPr>
            <w:tcW w:w="78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34,2</w:t>
            </w:r>
          </w:p>
        </w:tc>
        <w:tc>
          <w:tcPr>
            <w:tcW w:w="924"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57,1</w:t>
            </w:r>
          </w:p>
        </w:tc>
        <w:tc>
          <w:tcPr>
            <w:tcW w:w="840"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65,2</w:t>
            </w:r>
          </w:p>
        </w:tc>
        <w:tc>
          <w:tcPr>
            <w:tcW w:w="825" w:type="pct"/>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100,0</w:t>
            </w:r>
          </w:p>
        </w:tc>
      </w:tr>
    </w:tbl>
    <w:p w:rsidR="006D1426" w:rsidRPr="006D1426" w:rsidRDefault="006D1426" w:rsidP="006D1426">
      <w:pPr>
        <w:spacing w:after="0"/>
        <w:rPr>
          <w:rFonts w:ascii="Times New Roman" w:hAnsi="Times New Roman"/>
        </w:rPr>
      </w:pPr>
      <w:r w:rsidRPr="006D1426">
        <w:rPr>
          <w:rFonts w:ascii="Times New Roman" w:hAnsi="Times New Roman"/>
        </w:rPr>
        <w:t>Source : Données PAPA, 2018</w:t>
      </w:r>
    </w:p>
    <w:p w:rsidR="006D1426" w:rsidRPr="006D1426" w:rsidRDefault="006D1426" w:rsidP="006D1426">
      <w:pPr>
        <w:spacing w:after="0" w:line="360" w:lineRule="auto"/>
        <w:jc w:val="both"/>
        <w:rPr>
          <w:rFonts w:ascii="Times New Roman" w:hAnsi="Times New Roman"/>
        </w:rPr>
      </w:pPr>
      <w:r w:rsidRPr="006D1426">
        <w:rPr>
          <w:rFonts w:ascii="Times New Roman" w:hAnsi="Times New Roman"/>
        </w:rPr>
        <w:t>Note : les proportions dont les sommes dépassent 100% sont calculées à partir d’une question à choix multiples</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L’analys</w:t>
      </w:r>
      <w:r w:rsidR="00F90D81">
        <w:rPr>
          <w:rFonts w:ascii="Times New Roman" w:hAnsi="Times New Roman"/>
          <w:sz w:val="24"/>
        </w:rPr>
        <w:t>e des données du tableau 9</w:t>
      </w:r>
      <w:r w:rsidRPr="006D1426">
        <w:rPr>
          <w:rFonts w:ascii="Times New Roman" w:hAnsi="Times New Roman"/>
          <w:sz w:val="24"/>
        </w:rPr>
        <w:t xml:space="preserve"> montre que les principaux critères visuels de choix des produits sont l’absence d’impuretés, le calibrage et le conditionnement. L’absence d’impuretés, citée par près de 100% des détaillants quelle que soit la spéculation vendue. Les détaillants ont donc une exigence de qualité sur les céréales brutes. Cela implique, l’engagement des acteurs en amont tels que les producteurs et les grossistes pour répondre à ce besoin. Du côté des fournisseurs, les trois principaux critères de choix des détaillants sont la disponibilité du produit, le prix et le respect des engagements. </w:t>
      </w:r>
    </w:p>
    <w:p w:rsidR="006D1426" w:rsidRPr="006D1426" w:rsidRDefault="00F90D81" w:rsidP="00F90D81">
      <w:pPr>
        <w:pStyle w:val="Lgende"/>
        <w:rPr>
          <w:b/>
          <w:iCs w:val="0"/>
          <w:szCs w:val="24"/>
        </w:rPr>
      </w:pPr>
      <w:bookmarkStart w:id="65" w:name="_Toc1484496"/>
      <w:bookmarkStart w:id="66" w:name="_Toc3549397"/>
      <w:bookmarkStart w:id="67" w:name="_Toc34303306"/>
      <w:r w:rsidRPr="00F90D81">
        <w:rPr>
          <w:b/>
        </w:rPr>
        <w:t xml:space="preserve">Tableau </w:t>
      </w:r>
      <w:r w:rsidRPr="00F90D81">
        <w:rPr>
          <w:b/>
        </w:rPr>
        <w:fldChar w:fldCharType="begin"/>
      </w:r>
      <w:r w:rsidRPr="00F90D81">
        <w:rPr>
          <w:b/>
        </w:rPr>
        <w:instrText xml:space="preserve"> SEQ Tableau \* ARABIC </w:instrText>
      </w:r>
      <w:r w:rsidRPr="00F90D81">
        <w:rPr>
          <w:b/>
        </w:rPr>
        <w:fldChar w:fldCharType="separate"/>
      </w:r>
      <w:r w:rsidR="00900EA8">
        <w:rPr>
          <w:b/>
          <w:noProof/>
        </w:rPr>
        <w:t>9</w:t>
      </w:r>
      <w:r w:rsidRPr="00F90D81">
        <w:rPr>
          <w:b/>
        </w:rPr>
        <w:fldChar w:fldCharType="end"/>
      </w:r>
      <w:r w:rsidR="006D1426" w:rsidRPr="006D1426">
        <w:rPr>
          <w:b/>
          <w:iCs w:val="0"/>
          <w:szCs w:val="24"/>
        </w:rPr>
        <w:t xml:space="preserve">: </w:t>
      </w:r>
      <w:r w:rsidR="006D1426" w:rsidRPr="006D1426">
        <w:rPr>
          <w:iCs w:val="0"/>
          <w:szCs w:val="24"/>
        </w:rPr>
        <w:t>Principaux Critères de choix des produits vendus</w:t>
      </w:r>
      <w:bookmarkEnd w:id="65"/>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557"/>
        <w:gridCol w:w="1668"/>
        <w:gridCol w:w="1371"/>
        <w:gridCol w:w="1371"/>
      </w:tblGrid>
      <w:tr w:rsidR="006D1426" w:rsidRPr="006D1426" w:rsidTr="006D1426">
        <w:trPr>
          <w:trHeight w:val="288"/>
        </w:trPr>
        <w:tc>
          <w:tcPr>
            <w:tcW w:w="3337" w:type="dxa"/>
            <w:tcBorders>
              <w:bottom w:val="nil"/>
            </w:tcBorders>
            <w:shd w:val="clear" w:color="auto" w:fill="auto"/>
            <w:noWrap/>
          </w:tcPr>
          <w:p w:rsidR="006D1426" w:rsidRPr="006D1426" w:rsidRDefault="006D1426" w:rsidP="006D1426">
            <w:pPr>
              <w:spacing w:before="120" w:after="120" w:line="360" w:lineRule="auto"/>
              <w:jc w:val="both"/>
              <w:rPr>
                <w:rFonts w:ascii="Times New Roman" w:hAnsi="Times New Roman"/>
                <w:b/>
                <w:bCs/>
                <w:sz w:val="24"/>
              </w:rPr>
            </w:pPr>
          </w:p>
        </w:tc>
        <w:tc>
          <w:tcPr>
            <w:tcW w:w="6399" w:type="dxa"/>
            <w:gridSpan w:val="4"/>
            <w:shd w:val="clear" w:color="auto" w:fill="auto"/>
            <w:noWrap/>
          </w:tcPr>
          <w:p w:rsidR="006D1426" w:rsidRPr="006D1426" w:rsidRDefault="006D1426" w:rsidP="006D1426">
            <w:pPr>
              <w:spacing w:before="120" w:after="120" w:line="360" w:lineRule="auto"/>
              <w:jc w:val="center"/>
              <w:rPr>
                <w:rFonts w:ascii="Times New Roman" w:hAnsi="Times New Roman"/>
                <w:b/>
                <w:sz w:val="24"/>
              </w:rPr>
            </w:pPr>
            <w:r w:rsidRPr="006D1426">
              <w:rPr>
                <w:rFonts w:ascii="Times New Roman" w:hAnsi="Times New Roman"/>
                <w:b/>
                <w:sz w:val="24"/>
              </w:rPr>
              <w:t>Proportion de détaillants</w:t>
            </w:r>
          </w:p>
        </w:tc>
      </w:tr>
      <w:tr w:rsidR="006D1426" w:rsidRPr="006D1426" w:rsidTr="008905FF">
        <w:trPr>
          <w:trHeight w:val="1032"/>
        </w:trPr>
        <w:tc>
          <w:tcPr>
            <w:tcW w:w="3337" w:type="dxa"/>
            <w:tcBorders>
              <w:top w:val="nil"/>
              <w:bottom w:val="nil"/>
            </w:tcBorders>
            <w:shd w:val="clear" w:color="auto" w:fill="auto"/>
            <w:noWrap/>
            <w:hideMark/>
          </w:tcPr>
          <w:p w:rsidR="006D1426" w:rsidRPr="006D1426" w:rsidRDefault="006D1426" w:rsidP="006D1426">
            <w:pPr>
              <w:spacing w:before="120" w:after="120" w:line="360" w:lineRule="auto"/>
              <w:jc w:val="both"/>
              <w:rPr>
                <w:rFonts w:ascii="Times New Roman" w:hAnsi="Times New Roman"/>
                <w:b/>
                <w:bCs/>
                <w:sz w:val="24"/>
              </w:rPr>
            </w:pPr>
          </w:p>
        </w:tc>
        <w:tc>
          <w:tcPr>
            <w:tcW w:w="1670" w:type="dxa"/>
            <w:shd w:val="clear" w:color="auto" w:fill="auto"/>
            <w:noWrap/>
            <w:hideMark/>
          </w:tcPr>
          <w:p w:rsidR="006D1426" w:rsidRPr="006D1426" w:rsidRDefault="006D1426" w:rsidP="006D1426">
            <w:pPr>
              <w:spacing w:before="120" w:after="120" w:line="360" w:lineRule="auto"/>
              <w:jc w:val="both"/>
              <w:rPr>
                <w:rFonts w:ascii="Times New Roman" w:hAnsi="Times New Roman"/>
                <w:b/>
                <w:sz w:val="24"/>
              </w:rPr>
            </w:pPr>
            <w:r w:rsidRPr="006D1426">
              <w:rPr>
                <w:rFonts w:ascii="Times New Roman" w:hAnsi="Times New Roman"/>
                <w:b/>
                <w:sz w:val="24"/>
              </w:rPr>
              <w:t>Mil grain (n=344)</w:t>
            </w:r>
          </w:p>
        </w:tc>
        <w:tc>
          <w:tcPr>
            <w:tcW w:w="1791" w:type="dxa"/>
            <w:shd w:val="clear" w:color="auto" w:fill="auto"/>
            <w:noWrap/>
            <w:hideMark/>
          </w:tcPr>
          <w:p w:rsidR="006D1426" w:rsidRPr="006D1426" w:rsidRDefault="006D1426" w:rsidP="006D1426">
            <w:pPr>
              <w:spacing w:before="120" w:after="120" w:line="360" w:lineRule="auto"/>
              <w:jc w:val="both"/>
              <w:rPr>
                <w:rFonts w:ascii="Times New Roman" w:hAnsi="Times New Roman"/>
                <w:b/>
                <w:sz w:val="24"/>
              </w:rPr>
            </w:pPr>
            <w:r w:rsidRPr="006D1426">
              <w:rPr>
                <w:rFonts w:ascii="Times New Roman" w:hAnsi="Times New Roman"/>
                <w:b/>
                <w:sz w:val="24"/>
              </w:rPr>
              <w:t>Sorgho grain (n=109)</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b/>
                <w:sz w:val="24"/>
              </w:rPr>
            </w:pPr>
            <w:r w:rsidRPr="006D1426">
              <w:rPr>
                <w:rFonts w:ascii="Times New Roman" w:hAnsi="Times New Roman"/>
                <w:b/>
                <w:sz w:val="24"/>
              </w:rPr>
              <w:t>Mais grain (n=287)</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b/>
                <w:sz w:val="24"/>
              </w:rPr>
            </w:pPr>
            <w:r w:rsidRPr="006D1426">
              <w:rPr>
                <w:rFonts w:ascii="Times New Roman" w:hAnsi="Times New Roman"/>
                <w:b/>
                <w:sz w:val="24"/>
              </w:rPr>
              <w:t>Fonio grain (n=18)</w:t>
            </w:r>
          </w:p>
        </w:tc>
      </w:tr>
      <w:tr w:rsidR="006D1426" w:rsidRPr="006D1426" w:rsidTr="006D1426">
        <w:trPr>
          <w:trHeight w:val="890"/>
        </w:trPr>
        <w:tc>
          <w:tcPr>
            <w:tcW w:w="9736" w:type="dxa"/>
            <w:gridSpan w:val="5"/>
            <w:shd w:val="clear" w:color="auto" w:fill="auto"/>
            <w:noWrap/>
          </w:tcPr>
          <w:p w:rsidR="006D1426" w:rsidRPr="006D1426" w:rsidRDefault="006D1426" w:rsidP="006D1426">
            <w:pPr>
              <w:spacing w:before="120" w:after="120" w:line="360" w:lineRule="auto"/>
              <w:jc w:val="center"/>
              <w:rPr>
                <w:rFonts w:ascii="Times New Roman" w:hAnsi="Times New Roman"/>
                <w:b/>
                <w:sz w:val="24"/>
              </w:rPr>
            </w:pPr>
            <w:r w:rsidRPr="006D1426">
              <w:rPr>
                <w:rFonts w:ascii="Times New Roman" w:hAnsi="Times New Roman"/>
                <w:b/>
                <w:bCs/>
                <w:sz w:val="24"/>
              </w:rPr>
              <w:t>Attributs visuels guidant le choix du produit (%)</w:t>
            </w:r>
          </w:p>
        </w:tc>
      </w:tr>
      <w:tr w:rsidR="006D1426" w:rsidRPr="006D1426" w:rsidTr="006D1426">
        <w:trPr>
          <w:trHeight w:val="288"/>
        </w:trPr>
        <w:tc>
          <w:tcPr>
            <w:tcW w:w="3337"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Produit sans impuretés</w:t>
            </w:r>
          </w:p>
        </w:tc>
        <w:tc>
          <w:tcPr>
            <w:tcW w:w="1670"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100,0</w:t>
            </w:r>
          </w:p>
        </w:tc>
        <w:tc>
          <w:tcPr>
            <w:tcW w:w="1791"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97,2</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99,7</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100,0</w:t>
            </w:r>
          </w:p>
        </w:tc>
      </w:tr>
      <w:tr w:rsidR="006D1426" w:rsidRPr="006D1426" w:rsidTr="006D1426">
        <w:trPr>
          <w:trHeight w:val="288"/>
        </w:trPr>
        <w:tc>
          <w:tcPr>
            <w:tcW w:w="3337"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lastRenderedPageBreak/>
              <w:t>Produit bien calibré</w:t>
            </w:r>
          </w:p>
        </w:tc>
        <w:tc>
          <w:tcPr>
            <w:tcW w:w="1670"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78,8</w:t>
            </w:r>
          </w:p>
        </w:tc>
        <w:tc>
          <w:tcPr>
            <w:tcW w:w="1791"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84,4</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79,8</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77,8</w:t>
            </w:r>
          </w:p>
        </w:tc>
      </w:tr>
      <w:tr w:rsidR="006D1426" w:rsidRPr="006D1426" w:rsidTr="006D1426">
        <w:trPr>
          <w:trHeight w:val="288"/>
        </w:trPr>
        <w:tc>
          <w:tcPr>
            <w:tcW w:w="3337"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Produit bien conditionné</w:t>
            </w:r>
          </w:p>
        </w:tc>
        <w:tc>
          <w:tcPr>
            <w:tcW w:w="1670"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72,4</w:t>
            </w:r>
          </w:p>
        </w:tc>
        <w:tc>
          <w:tcPr>
            <w:tcW w:w="1791"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75,2</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75,6</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88,9</w:t>
            </w:r>
          </w:p>
        </w:tc>
      </w:tr>
      <w:tr w:rsidR="006D1426" w:rsidRPr="006D1426" w:rsidTr="006D1426">
        <w:trPr>
          <w:trHeight w:val="576"/>
        </w:trPr>
        <w:tc>
          <w:tcPr>
            <w:tcW w:w="9736" w:type="dxa"/>
            <w:gridSpan w:val="5"/>
            <w:shd w:val="clear" w:color="auto" w:fill="auto"/>
            <w:hideMark/>
          </w:tcPr>
          <w:p w:rsidR="006D1426" w:rsidRPr="006D1426" w:rsidRDefault="006D1426" w:rsidP="006D1426">
            <w:pPr>
              <w:spacing w:before="120" w:after="120" w:line="360" w:lineRule="auto"/>
              <w:jc w:val="center"/>
              <w:rPr>
                <w:rFonts w:ascii="Times New Roman" w:hAnsi="Times New Roman"/>
                <w:sz w:val="24"/>
              </w:rPr>
            </w:pPr>
            <w:r w:rsidRPr="006D1426">
              <w:rPr>
                <w:rFonts w:ascii="Times New Roman" w:hAnsi="Times New Roman"/>
                <w:b/>
                <w:bCs/>
                <w:sz w:val="24"/>
              </w:rPr>
              <w:t>Trois principaux attributs liés au fournisseur ou marché, guidant le choix du produit (%)</w:t>
            </w:r>
          </w:p>
        </w:tc>
      </w:tr>
      <w:tr w:rsidR="006D1426" w:rsidRPr="006D1426" w:rsidTr="006D1426">
        <w:trPr>
          <w:trHeight w:val="288"/>
        </w:trPr>
        <w:tc>
          <w:tcPr>
            <w:tcW w:w="3337"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Disponibilité produit auprès du fournisseur</w:t>
            </w:r>
          </w:p>
        </w:tc>
        <w:tc>
          <w:tcPr>
            <w:tcW w:w="1670"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93,6</w:t>
            </w:r>
          </w:p>
        </w:tc>
        <w:tc>
          <w:tcPr>
            <w:tcW w:w="1791"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97,2</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97,6</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94,4</w:t>
            </w:r>
          </w:p>
        </w:tc>
      </w:tr>
      <w:tr w:rsidR="006D1426" w:rsidRPr="006D1426" w:rsidTr="006D1426">
        <w:trPr>
          <w:trHeight w:val="288"/>
        </w:trPr>
        <w:tc>
          <w:tcPr>
            <w:tcW w:w="3337"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 xml:space="preserve">Prix du produit </w:t>
            </w:r>
          </w:p>
        </w:tc>
        <w:tc>
          <w:tcPr>
            <w:tcW w:w="1670"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78,5</w:t>
            </w:r>
          </w:p>
        </w:tc>
        <w:tc>
          <w:tcPr>
            <w:tcW w:w="1791"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77,1</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77,7</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88,9</w:t>
            </w:r>
          </w:p>
        </w:tc>
      </w:tr>
      <w:tr w:rsidR="006D1426" w:rsidRPr="006D1426" w:rsidTr="006D1426">
        <w:trPr>
          <w:trHeight w:val="288"/>
        </w:trPr>
        <w:tc>
          <w:tcPr>
            <w:tcW w:w="3337"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Fournisseur respecte ces engagements</w:t>
            </w:r>
          </w:p>
        </w:tc>
        <w:tc>
          <w:tcPr>
            <w:tcW w:w="1670"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46,8</w:t>
            </w:r>
          </w:p>
        </w:tc>
        <w:tc>
          <w:tcPr>
            <w:tcW w:w="1791"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47,7</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43,2</w:t>
            </w:r>
          </w:p>
        </w:tc>
        <w:tc>
          <w:tcPr>
            <w:tcW w:w="1469" w:type="dxa"/>
            <w:shd w:val="clear" w:color="auto" w:fill="auto"/>
            <w:noWrap/>
            <w:hideMark/>
          </w:tcPr>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38,9</w:t>
            </w:r>
          </w:p>
        </w:tc>
      </w:tr>
    </w:tbl>
    <w:p w:rsidR="006D1426" w:rsidRPr="006D1426" w:rsidRDefault="006D1426" w:rsidP="006D1426">
      <w:pPr>
        <w:spacing w:after="0"/>
        <w:rPr>
          <w:rFonts w:ascii="Times New Roman" w:hAnsi="Times New Roman"/>
        </w:rPr>
      </w:pPr>
      <w:r w:rsidRPr="006D1426">
        <w:rPr>
          <w:rFonts w:ascii="Times New Roman" w:hAnsi="Times New Roman"/>
        </w:rPr>
        <w:t>Source : Données PAPA, 2018</w:t>
      </w:r>
    </w:p>
    <w:p w:rsidR="006D1426" w:rsidRPr="006D1426" w:rsidRDefault="006D1426" w:rsidP="00DE0776">
      <w:pPr>
        <w:spacing w:after="0" w:line="240" w:lineRule="auto"/>
        <w:jc w:val="both"/>
        <w:rPr>
          <w:rFonts w:ascii="Times New Roman" w:hAnsi="Times New Roman"/>
          <w:b/>
        </w:rPr>
      </w:pPr>
      <w:r w:rsidRPr="006D1426">
        <w:rPr>
          <w:rFonts w:ascii="Times New Roman" w:hAnsi="Times New Roman"/>
        </w:rPr>
        <w:t>Note : les proportions dont les sommes dépassent 100% sont calculées à partir d’une question à choix multiple</w:t>
      </w:r>
      <w:r w:rsidR="00184205">
        <w:rPr>
          <w:rFonts w:ascii="Times New Roman" w:hAnsi="Times New Roman"/>
        </w:rPr>
        <w:t>s.</w:t>
      </w:r>
    </w:p>
    <w:p w:rsidR="006D1426" w:rsidRPr="006D1426" w:rsidRDefault="006D1426" w:rsidP="00184205">
      <w:pPr>
        <w:pStyle w:val="RapportPAPA"/>
      </w:pPr>
      <w:r w:rsidRPr="006D1426">
        <w:t>La dépendance des détaillants aux intermédiaires pour la fourniture en marchandise s’explique en partie par la faible intégration vertic</w:t>
      </w:r>
      <w:r w:rsidR="00216768">
        <w:t>ale de ce maillon (tableau 10</w:t>
      </w:r>
      <w:r w:rsidRPr="006D1426">
        <w:t xml:space="preserve">). En effet, seuls 6% d’entre eux </w:t>
      </w:r>
      <w:r w:rsidR="00216768">
        <w:t xml:space="preserve">ont </w:t>
      </w:r>
      <w:r w:rsidRPr="006D1426">
        <w:t xml:space="preserve">une exploitation de céréales et 1% une entreprise de transformation de céréales. Les détaillants ne sont donc pas présents en amont de la chaine de valeur. Parmi les céréales cultivées, le mil vient en première place, suivi du maïs. </w:t>
      </w:r>
    </w:p>
    <w:p w:rsidR="006D1426" w:rsidRPr="006D1426" w:rsidRDefault="00216768" w:rsidP="00216768">
      <w:pPr>
        <w:pStyle w:val="Lgende"/>
        <w:rPr>
          <w:iCs w:val="0"/>
          <w:szCs w:val="24"/>
        </w:rPr>
      </w:pPr>
      <w:bookmarkStart w:id="68" w:name="_Toc1484497"/>
      <w:bookmarkStart w:id="69" w:name="_Toc3549398"/>
      <w:bookmarkStart w:id="70" w:name="_Toc34303307"/>
      <w:r w:rsidRPr="00216768">
        <w:rPr>
          <w:b/>
        </w:rPr>
        <w:t xml:space="preserve">Tableau </w:t>
      </w:r>
      <w:r w:rsidRPr="00216768">
        <w:rPr>
          <w:b/>
        </w:rPr>
        <w:fldChar w:fldCharType="begin"/>
      </w:r>
      <w:r w:rsidRPr="00216768">
        <w:rPr>
          <w:b/>
        </w:rPr>
        <w:instrText xml:space="preserve"> SEQ Tableau \* ARABIC </w:instrText>
      </w:r>
      <w:r w:rsidRPr="00216768">
        <w:rPr>
          <w:b/>
        </w:rPr>
        <w:fldChar w:fldCharType="separate"/>
      </w:r>
      <w:r w:rsidR="00900EA8">
        <w:rPr>
          <w:b/>
          <w:noProof/>
        </w:rPr>
        <w:t>10</w:t>
      </w:r>
      <w:r w:rsidRPr="00216768">
        <w:rPr>
          <w:b/>
        </w:rPr>
        <w:fldChar w:fldCharType="end"/>
      </w:r>
      <w:r w:rsidR="006D1426" w:rsidRPr="006D1426">
        <w:rPr>
          <w:iCs w:val="0"/>
          <w:szCs w:val="24"/>
        </w:rPr>
        <w:t>: Activités de production agricole des détaillants de céréales</w:t>
      </w:r>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678"/>
      </w:tblGrid>
      <w:tr w:rsidR="006D1426" w:rsidRPr="006D1426" w:rsidTr="006D1426">
        <w:trPr>
          <w:trHeight w:val="640"/>
        </w:trPr>
        <w:tc>
          <w:tcPr>
            <w:tcW w:w="2419" w:type="pct"/>
            <w:shd w:val="clear" w:color="auto" w:fill="auto"/>
            <w:hideMark/>
          </w:tcPr>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p>
        </w:tc>
        <w:tc>
          <w:tcPr>
            <w:tcW w:w="2581" w:type="pct"/>
            <w:shd w:val="clear" w:color="auto" w:fill="auto"/>
            <w:hideMark/>
          </w:tcPr>
          <w:p w:rsidR="006D1426" w:rsidRPr="006D1426" w:rsidRDefault="006D1426" w:rsidP="006D1426">
            <w:pPr>
              <w:spacing w:after="0" w:line="240" w:lineRule="auto"/>
              <w:jc w:val="center"/>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N=582</w:t>
            </w:r>
          </w:p>
        </w:tc>
      </w:tr>
      <w:tr w:rsidR="006D1426" w:rsidRPr="006D1426" w:rsidTr="006D1426">
        <w:trPr>
          <w:trHeight w:val="630"/>
        </w:trPr>
        <w:tc>
          <w:tcPr>
            <w:tcW w:w="2419"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Part des commerçants possédant une exploitation agricole de céréales (%)</w:t>
            </w:r>
          </w:p>
        </w:tc>
        <w:tc>
          <w:tcPr>
            <w:tcW w:w="2581"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6,4</w:t>
            </w:r>
          </w:p>
        </w:tc>
      </w:tr>
      <w:tr w:rsidR="006D1426" w:rsidRPr="006D1426" w:rsidTr="006D1426">
        <w:trPr>
          <w:trHeight w:val="945"/>
        </w:trPr>
        <w:tc>
          <w:tcPr>
            <w:tcW w:w="2419" w:type="pct"/>
            <w:shd w:val="clear" w:color="auto" w:fill="auto"/>
            <w:hideMark/>
          </w:tcPr>
          <w:p w:rsidR="006D1426" w:rsidRPr="006D1426" w:rsidRDefault="006D1426" w:rsidP="006D1426">
            <w:pPr>
              <w:spacing w:after="0" w:line="240" w:lineRule="auto"/>
              <w:rPr>
                <w:rFonts w:ascii="Times New Roman" w:eastAsia="Times New Roman" w:hAnsi="Times New Roman"/>
                <w:sz w:val="24"/>
                <w:szCs w:val="24"/>
                <w:lang w:eastAsia="fr-FR"/>
              </w:rPr>
            </w:pPr>
            <w:r w:rsidRPr="006D1426">
              <w:rPr>
                <w:rFonts w:ascii="Times New Roman" w:eastAsia="Times New Roman" w:hAnsi="Times New Roman"/>
                <w:sz w:val="24"/>
                <w:szCs w:val="24"/>
                <w:lang w:eastAsia="fr-FR"/>
              </w:rPr>
              <w:t>Part des commerçants possédant une entreprise de transformation de céréales (%)</w:t>
            </w:r>
          </w:p>
        </w:tc>
        <w:tc>
          <w:tcPr>
            <w:tcW w:w="2581"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1,0</w:t>
            </w:r>
          </w:p>
        </w:tc>
      </w:tr>
      <w:tr w:rsidR="006D1426" w:rsidRPr="006D1426" w:rsidTr="006D1426">
        <w:trPr>
          <w:trHeight w:val="630"/>
        </w:trPr>
        <w:tc>
          <w:tcPr>
            <w:tcW w:w="2419"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Répartition des détaillants en fonction des céréales cultivées (% de détaillants)</w:t>
            </w:r>
          </w:p>
        </w:tc>
        <w:tc>
          <w:tcPr>
            <w:tcW w:w="2581"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r w:rsidRPr="006D1426">
              <w:rPr>
                <w:rFonts w:ascii="Times New Roman" w:eastAsia="Times New Roman" w:hAnsi="Times New Roman"/>
                <w:b/>
                <w:bCs/>
                <w:color w:val="000000"/>
                <w:sz w:val="24"/>
                <w:szCs w:val="24"/>
                <w:lang w:eastAsia="fr-FR"/>
              </w:rPr>
              <w:t>N=37</w:t>
            </w:r>
          </w:p>
        </w:tc>
      </w:tr>
      <w:tr w:rsidR="006D1426" w:rsidRPr="006D1426" w:rsidTr="006D1426">
        <w:trPr>
          <w:trHeight w:val="315"/>
        </w:trPr>
        <w:tc>
          <w:tcPr>
            <w:tcW w:w="2419" w:type="pct"/>
            <w:shd w:val="clear" w:color="auto" w:fill="auto"/>
            <w:hideMark/>
          </w:tcPr>
          <w:p w:rsidR="006D1426" w:rsidRPr="006D1426" w:rsidRDefault="006D1426" w:rsidP="006D1426">
            <w:pPr>
              <w:spacing w:after="0" w:line="240" w:lineRule="auto"/>
              <w:ind w:firstLineChars="300" w:firstLine="72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Mil</w:t>
            </w:r>
          </w:p>
        </w:tc>
        <w:tc>
          <w:tcPr>
            <w:tcW w:w="2581"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86,5</w:t>
            </w:r>
          </w:p>
        </w:tc>
      </w:tr>
      <w:tr w:rsidR="006D1426" w:rsidRPr="006D1426" w:rsidTr="006D1426">
        <w:trPr>
          <w:trHeight w:val="315"/>
        </w:trPr>
        <w:tc>
          <w:tcPr>
            <w:tcW w:w="2419" w:type="pct"/>
            <w:shd w:val="clear" w:color="auto" w:fill="auto"/>
            <w:hideMark/>
          </w:tcPr>
          <w:p w:rsidR="006D1426" w:rsidRPr="006D1426" w:rsidRDefault="006D1426" w:rsidP="006D1426">
            <w:pPr>
              <w:spacing w:after="0" w:line="240" w:lineRule="auto"/>
              <w:ind w:firstLineChars="300" w:firstLine="72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Sorgho</w:t>
            </w:r>
          </w:p>
        </w:tc>
        <w:tc>
          <w:tcPr>
            <w:tcW w:w="2581"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16,2</w:t>
            </w:r>
          </w:p>
        </w:tc>
      </w:tr>
      <w:tr w:rsidR="006D1426" w:rsidRPr="006D1426" w:rsidTr="006D1426">
        <w:trPr>
          <w:trHeight w:val="315"/>
        </w:trPr>
        <w:tc>
          <w:tcPr>
            <w:tcW w:w="2419" w:type="pct"/>
            <w:shd w:val="clear" w:color="auto" w:fill="auto"/>
            <w:hideMark/>
          </w:tcPr>
          <w:p w:rsidR="006D1426" w:rsidRPr="006D1426" w:rsidRDefault="006D1426" w:rsidP="006D1426">
            <w:pPr>
              <w:spacing w:after="0" w:line="240" w:lineRule="auto"/>
              <w:ind w:firstLineChars="300" w:firstLine="72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Mais</w:t>
            </w:r>
          </w:p>
        </w:tc>
        <w:tc>
          <w:tcPr>
            <w:tcW w:w="2581"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43,2</w:t>
            </w:r>
          </w:p>
        </w:tc>
      </w:tr>
      <w:tr w:rsidR="006D1426" w:rsidRPr="006D1426" w:rsidTr="006D1426">
        <w:trPr>
          <w:trHeight w:val="315"/>
        </w:trPr>
        <w:tc>
          <w:tcPr>
            <w:tcW w:w="2419" w:type="pct"/>
            <w:shd w:val="clear" w:color="auto" w:fill="auto"/>
            <w:hideMark/>
          </w:tcPr>
          <w:p w:rsidR="006D1426" w:rsidRPr="006D1426" w:rsidRDefault="006D1426" w:rsidP="006D1426">
            <w:pPr>
              <w:spacing w:after="0" w:line="240" w:lineRule="auto"/>
              <w:ind w:firstLineChars="300" w:firstLine="72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Riz</w:t>
            </w:r>
          </w:p>
        </w:tc>
        <w:tc>
          <w:tcPr>
            <w:tcW w:w="2581"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13,5</w:t>
            </w:r>
          </w:p>
        </w:tc>
      </w:tr>
      <w:tr w:rsidR="006D1426" w:rsidRPr="006D1426" w:rsidTr="006D1426">
        <w:trPr>
          <w:trHeight w:val="315"/>
        </w:trPr>
        <w:tc>
          <w:tcPr>
            <w:tcW w:w="2419" w:type="pct"/>
            <w:shd w:val="clear" w:color="auto" w:fill="auto"/>
            <w:noWrap/>
            <w:hideMark/>
          </w:tcPr>
          <w:p w:rsidR="006D1426" w:rsidRPr="006D1426" w:rsidRDefault="006D1426" w:rsidP="006D1426">
            <w:pPr>
              <w:spacing w:after="0" w:line="240" w:lineRule="auto"/>
              <w:ind w:firstLineChars="300" w:firstLine="72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Fonio</w:t>
            </w:r>
          </w:p>
        </w:tc>
        <w:tc>
          <w:tcPr>
            <w:tcW w:w="2581"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0</w:t>
            </w:r>
          </w:p>
        </w:tc>
      </w:tr>
    </w:tbl>
    <w:p w:rsidR="006D1426" w:rsidRPr="006D1426" w:rsidRDefault="006D1426" w:rsidP="006D1426">
      <w:pPr>
        <w:spacing w:after="0"/>
        <w:rPr>
          <w:rFonts w:ascii="Times New Roman" w:hAnsi="Times New Roman"/>
        </w:rPr>
      </w:pPr>
      <w:r w:rsidRPr="006D1426">
        <w:rPr>
          <w:rFonts w:ascii="Times New Roman" w:hAnsi="Times New Roman"/>
        </w:rPr>
        <w:t>Source : Données PAPA, 2018</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lastRenderedPageBreak/>
        <w:t xml:space="preserve">La contractualisation est considérée comme une des meilleures stratégies qui pourraient permettre le développement des chaines de valeur alimentaires au Sénégal. Elle permet d’assurer des débouchés mais aussi de sécuriser les intrants. Chez les détaillants, cette pratique </w:t>
      </w:r>
      <w:r w:rsidR="00184205">
        <w:rPr>
          <w:rFonts w:ascii="Times New Roman" w:hAnsi="Times New Roman"/>
          <w:sz w:val="24"/>
        </w:rPr>
        <w:t>est</w:t>
      </w:r>
      <w:r w:rsidR="00216768">
        <w:rPr>
          <w:rFonts w:ascii="Times New Roman" w:hAnsi="Times New Roman"/>
          <w:sz w:val="24"/>
        </w:rPr>
        <w:t xml:space="preserve"> très peu présente (tableau 11</w:t>
      </w:r>
      <w:r w:rsidRPr="006D1426">
        <w:rPr>
          <w:rFonts w:ascii="Times New Roman" w:hAnsi="Times New Roman"/>
          <w:sz w:val="24"/>
        </w:rPr>
        <w:t xml:space="preserve">). En effet, </w:t>
      </w:r>
      <w:r w:rsidR="00216768">
        <w:rPr>
          <w:rFonts w:ascii="Times New Roman" w:hAnsi="Times New Roman"/>
          <w:sz w:val="24"/>
        </w:rPr>
        <w:t xml:space="preserve">seuls </w:t>
      </w:r>
      <w:r w:rsidRPr="006D1426">
        <w:rPr>
          <w:rFonts w:ascii="Times New Roman" w:hAnsi="Times New Roman"/>
          <w:sz w:val="24"/>
        </w:rPr>
        <w:t xml:space="preserve">6,5% d’entre eux sont engagés dans des contrats. Ces derniers portent principalement sur la vente au profit des consommateurs, aux commerçants et aux transformateurs. En moyenne, il y a un contrat en cours pour les détaillants impliqués dans ce type de transaction. La principale exigence des contrats est la disponibilité de produits sans impuretés ; la qualité joue ainsi un rôle primordial dans leur durabilité. 75% des détaillants contractuels pensent que le non-respect des engagements est un des facteurs limitant des contrats. Cela peut être </w:t>
      </w:r>
      <w:r w:rsidR="00216768">
        <w:rPr>
          <w:rFonts w:ascii="Times New Roman" w:hAnsi="Times New Roman"/>
          <w:sz w:val="24"/>
        </w:rPr>
        <w:t xml:space="preserve">un obstacle </w:t>
      </w:r>
      <w:r w:rsidRPr="006D1426">
        <w:rPr>
          <w:rFonts w:ascii="Times New Roman" w:hAnsi="Times New Roman"/>
          <w:sz w:val="24"/>
        </w:rPr>
        <w:t>à leur développement car il n’y a presque aucune sanction si une des deux parties ne respecte ses engagements. Par conséquent, les contrats ont une durée assez courte (14 mois en moyenne).</w:t>
      </w:r>
    </w:p>
    <w:p w:rsidR="006D1426" w:rsidRPr="006D1426" w:rsidRDefault="00216768" w:rsidP="00216768">
      <w:pPr>
        <w:pStyle w:val="Lgende"/>
        <w:rPr>
          <w:iCs w:val="0"/>
          <w:szCs w:val="24"/>
        </w:rPr>
      </w:pPr>
      <w:bookmarkStart w:id="71" w:name="_Toc1484498"/>
      <w:bookmarkStart w:id="72" w:name="_Toc3549399"/>
      <w:bookmarkStart w:id="73" w:name="_Toc34303308"/>
      <w:r w:rsidRPr="00216768">
        <w:rPr>
          <w:b/>
        </w:rPr>
        <w:t xml:space="preserve">Tableau </w:t>
      </w:r>
      <w:r w:rsidRPr="00216768">
        <w:rPr>
          <w:b/>
        </w:rPr>
        <w:fldChar w:fldCharType="begin"/>
      </w:r>
      <w:r w:rsidRPr="00216768">
        <w:rPr>
          <w:b/>
        </w:rPr>
        <w:instrText xml:space="preserve"> SEQ Tableau \* ARABIC </w:instrText>
      </w:r>
      <w:r w:rsidRPr="00216768">
        <w:rPr>
          <w:b/>
        </w:rPr>
        <w:fldChar w:fldCharType="separate"/>
      </w:r>
      <w:r w:rsidR="00900EA8">
        <w:rPr>
          <w:b/>
          <w:noProof/>
        </w:rPr>
        <w:t>11</w:t>
      </w:r>
      <w:r w:rsidRPr="00216768">
        <w:rPr>
          <w:b/>
        </w:rPr>
        <w:fldChar w:fldCharType="end"/>
      </w:r>
      <w:r w:rsidR="006D1426" w:rsidRPr="006D1426">
        <w:rPr>
          <w:iCs w:val="0"/>
          <w:szCs w:val="24"/>
        </w:rPr>
        <w:t>: La contractualisation chez les détaillants</w:t>
      </w:r>
      <w:bookmarkEnd w:id="71"/>
      <w:bookmarkEnd w:id="72"/>
      <w:bookmarkEnd w:id="73"/>
    </w:p>
    <w:tbl>
      <w:tblPr>
        <w:tblStyle w:val="Grilledutableau6"/>
        <w:tblW w:w="5000" w:type="pct"/>
        <w:tblLook w:val="04A0" w:firstRow="1" w:lastRow="0" w:firstColumn="1" w:lastColumn="0" w:noHBand="0" w:noVBand="1"/>
      </w:tblPr>
      <w:tblGrid>
        <w:gridCol w:w="5894"/>
        <w:gridCol w:w="3163"/>
      </w:tblGrid>
      <w:tr w:rsidR="006D1426" w:rsidRPr="006D1426" w:rsidTr="006D1426">
        <w:trPr>
          <w:trHeight w:val="315"/>
        </w:trPr>
        <w:tc>
          <w:tcPr>
            <w:tcW w:w="3254" w:type="pct"/>
            <w:noWrap/>
            <w:hideMark/>
          </w:tcPr>
          <w:p w:rsidR="006D1426" w:rsidRPr="006D1426" w:rsidRDefault="006D1426" w:rsidP="006D1426">
            <w:pPr>
              <w:rPr>
                <w:rFonts w:ascii="Times New Roman" w:eastAsia="Times New Roman" w:hAnsi="Times New Roman" w:cs="Times New Roman"/>
                <w:b/>
                <w:bCs/>
                <w:color w:val="000000"/>
                <w:lang w:eastAsia="fr-FR"/>
              </w:rPr>
            </w:pPr>
            <w:r w:rsidRPr="006D1426">
              <w:rPr>
                <w:rFonts w:ascii="Times New Roman" w:eastAsia="Times New Roman" w:hAnsi="Times New Roman" w:cs="Times New Roman"/>
                <w:b/>
                <w:bCs/>
                <w:color w:val="000000"/>
                <w:lang w:eastAsia="fr-FR"/>
              </w:rPr>
              <w:t> </w:t>
            </w:r>
          </w:p>
        </w:tc>
        <w:tc>
          <w:tcPr>
            <w:tcW w:w="1746" w:type="pct"/>
            <w:hideMark/>
          </w:tcPr>
          <w:p w:rsidR="006D1426" w:rsidRPr="006D1426" w:rsidRDefault="006D1426" w:rsidP="006D1426">
            <w:pPr>
              <w:rPr>
                <w:rFonts w:ascii="Times New Roman" w:eastAsia="Times New Roman" w:hAnsi="Times New Roman" w:cs="Times New Roman"/>
                <w:b/>
                <w:bCs/>
                <w:color w:val="000000"/>
                <w:lang w:eastAsia="fr-FR"/>
              </w:rPr>
            </w:pPr>
            <w:r w:rsidRPr="006D1426">
              <w:rPr>
                <w:rFonts w:ascii="Times New Roman" w:eastAsia="Times New Roman" w:hAnsi="Times New Roman" w:cs="Times New Roman"/>
                <w:b/>
                <w:bCs/>
                <w:color w:val="000000"/>
                <w:lang w:eastAsia="fr-FR"/>
              </w:rPr>
              <w:t>N=582)</w:t>
            </w:r>
          </w:p>
        </w:tc>
      </w:tr>
      <w:tr w:rsidR="006D1426" w:rsidRPr="006D1426" w:rsidTr="006D1426">
        <w:trPr>
          <w:trHeight w:val="945"/>
        </w:trPr>
        <w:tc>
          <w:tcPr>
            <w:tcW w:w="3254" w:type="pct"/>
            <w:hideMark/>
          </w:tcPr>
          <w:p w:rsidR="006D1426" w:rsidRPr="006D1426" w:rsidRDefault="006D1426" w:rsidP="006D1426">
            <w:pPr>
              <w:rPr>
                <w:rFonts w:ascii="Times New Roman" w:eastAsia="Times New Roman" w:hAnsi="Times New Roman" w:cs="Times New Roman"/>
                <w:b/>
                <w:bCs/>
                <w:color w:val="000000"/>
                <w:lang w:eastAsia="fr-FR"/>
              </w:rPr>
            </w:pPr>
            <w:r w:rsidRPr="006D1426">
              <w:rPr>
                <w:rFonts w:ascii="Times New Roman" w:eastAsia="Times New Roman" w:hAnsi="Times New Roman" w:cs="Times New Roman"/>
                <w:b/>
                <w:bCs/>
                <w:color w:val="000000"/>
                <w:lang w:eastAsia="fr-FR"/>
              </w:rPr>
              <w:t>Part des acteurs ayant des relations contractuelles dans le cadre de leurs activités durant les quatre dernières années (%)</w:t>
            </w:r>
          </w:p>
        </w:tc>
        <w:tc>
          <w:tcPr>
            <w:tcW w:w="1746" w:type="pct"/>
            <w:noWrap/>
            <w:hideMark/>
          </w:tcPr>
          <w:p w:rsidR="006D1426" w:rsidRPr="006D1426" w:rsidRDefault="006D1426" w:rsidP="006D1426">
            <w:pPr>
              <w:rPr>
                <w:rFonts w:ascii="Times New Roman" w:eastAsia="Times New Roman" w:hAnsi="Times New Roman" w:cs="Times New Roman"/>
                <w:b/>
                <w:bCs/>
                <w:color w:val="000000"/>
                <w:lang w:eastAsia="fr-FR"/>
              </w:rPr>
            </w:pPr>
            <w:r w:rsidRPr="006D1426">
              <w:rPr>
                <w:rFonts w:ascii="Times New Roman" w:eastAsia="Times New Roman" w:hAnsi="Times New Roman" w:cs="Times New Roman"/>
                <w:b/>
                <w:bCs/>
                <w:color w:val="000000"/>
                <w:lang w:eastAsia="fr-FR"/>
              </w:rPr>
              <w:t>6,5</w:t>
            </w:r>
          </w:p>
        </w:tc>
      </w:tr>
      <w:tr w:rsidR="006D1426" w:rsidRPr="006D1426" w:rsidTr="006D1426">
        <w:trPr>
          <w:trHeight w:val="315"/>
        </w:trPr>
        <w:tc>
          <w:tcPr>
            <w:tcW w:w="3254" w:type="pct"/>
            <w:noWrap/>
            <w:hideMark/>
          </w:tcPr>
          <w:p w:rsidR="006D1426" w:rsidRPr="006D1426" w:rsidRDefault="006D1426" w:rsidP="006D1426">
            <w:pPr>
              <w:rPr>
                <w:rFonts w:ascii="Times New Roman" w:eastAsia="Times New Roman" w:hAnsi="Times New Roman" w:cs="Times New Roman"/>
                <w:b/>
                <w:bCs/>
                <w:color w:val="000000"/>
                <w:lang w:eastAsia="fr-FR"/>
              </w:rPr>
            </w:pPr>
            <w:r w:rsidRPr="006D1426">
              <w:rPr>
                <w:rFonts w:ascii="Times New Roman" w:eastAsia="Times New Roman" w:hAnsi="Times New Roman" w:cs="Times New Roman"/>
                <w:b/>
                <w:bCs/>
                <w:color w:val="000000"/>
                <w:lang w:eastAsia="fr-FR"/>
              </w:rPr>
              <w:t>Types de contrat (%)</w:t>
            </w:r>
          </w:p>
        </w:tc>
        <w:tc>
          <w:tcPr>
            <w:tcW w:w="1746" w:type="pct"/>
            <w:noWrap/>
            <w:hideMark/>
          </w:tcPr>
          <w:p w:rsidR="006D1426" w:rsidRPr="006D1426" w:rsidRDefault="006D1426" w:rsidP="006D1426">
            <w:pPr>
              <w:rPr>
                <w:rFonts w:ascii="Times New Roman" w:eastAsia="Times New Roman" w:hAnsi="Times New Roman" w:cs="Times New Roman"/>
                <w:b/>
                <w:color w:val="000000"/>
                <w:lang w:eastAsia="fr-FR"/>
              </w:rPr>
            </w:pPr>
            <w:r w:rsidRPr="006D1426">
              <w:rPr>
                <w:rFonts w:ascii="Times New Roman" w:eastAsia="Times New Roman" w:hAnsi="Times New Roman" w:cs="Times New Roman"/>
                <w:b/>
                <w:color w:val="000000"/>
                <w:lang w:eastAsia="fr-FR"/>
              </w:rPr>
              <w:t>n=38</w:t>
            </w:r>
          </w:p>
        </w:tc>
      </w:tr>
      <w:tr w:rsidR="006D1426" w:rsidRPr="006D1426" w:rsidTr="006D1426">
        <w:trPr>
          <w:trHeight w:val="315"/>
        </w:trPr>
        <w:tc>
          <w:tcPr>
            <w:tcW w:w="3254" w:type="pct"/>
            <w:noWrap/>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 xml:space="preserve">Garantie d'achat par les Grandes Surfaces </w:t>
            </w:r>
          </w:p>
        </w:tc>
        <w:tc>
          <w:tcPr>
            <w:tcW w:w="1746" w:type="pct"/>
            <w:noWrap/>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2,6</w:t>
            </w:r>
          </w:p>
        </w:tc>
      </w:tr>
      <w:tr w:rsidR="006D1426" w:rsidRPr="006D1426" w:rsidTr="006D1426">
        <w:trPr>
          <w:trHeight w:val="315"/>
        </w:trPr>
        <w:tc>
          <w:tcPr>
            <w:tcW w:w="3254" w:type="pct"/>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Garantie d'achat par un Exportateur</w:t>
            </w:r>
          </w:p>
        </w:tc>
        <w:tc>
          <w:tcPr>
            <w:tcW w:w="1746" w:type="pct"/>
            <w:noWrap/>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0,0</w:t>
            </w:r>
          </w:p>
        </w:tc>
      </w:tr>
      <w:tr w:rsidR="006D1426" w:rsidRPr="006D1426" w:rsidTr="006D1426">
        <w:trPr>
          <w:trHeight w:val="315"/>
        </w:trPr>
        <w:tc>
          <w:tcPr>
            <w:tcW w:w="3254" w:type="pct"/>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Garantie d'achat par des Commerçants</w:t>
            </w:r>
          </w:p>
        </w:tc>
        <w:tc>
          <w:tcPr>
            <w:tcW w:w="1746" w:type="pct"/>
            <w:noWrap/>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13,2</w:t>
            </w:r>
          </w:p>
        </w:tc>
      </w:tr>
      <w:tr w:rsidR="006D1426" w:rsidRPr="006D1426" w:rsidTr="006D1426">
        <w:trPr>
          <w:trHeight w:val="315"/>
        </w:trPr>
        <w:tc>
          <w:tcPr>
            <w:tcW w:w="3254" w:type="pct"/>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Garantie d'achat par des Transformateurs</w:t>
            </w:r>
          </w:p>
        </w:tc>
        <w:tc>
          <w:tcPr>
            <w:tcW w:w="1746" w:type="pct"/>
            <w:noWrap/>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13,2</w:t>
            </w:r>
          </w:p>
        </w:tc>
      </w:tr>
      <w:tr w:rsidR="006D1426" w:rsidRPr="006D1426" w:rsidTr="006D1426">
        <w:trPr>
          <w:trHeight w:val="315"/>
        </w:trPr>
        <w:tc>
          <w:tcPr>
            <w:tcW w:w="3254" w:type="pct"/>
            <w:hideMark/>
          </w:tcPr>
          <w:p w:rsidR="006D1426" w:rsidRPr="006D1426" w:rsidRDefault="006D1426" w:rsidP="006D1426">
            <w:pPr>
              <w:rPr>
                <w:rFonts w:ascii="Times New Roman" w:eastAsia="Times New Roman" w:hAnsi="Times New Roman" w:cs="Times New Roman"/>
                <w:lang w:eastAsia="fr-FR"/>
              </w:rPr>
            </w:pPr>
            <w:r w:rsidRPr="006D1426">
              <w:rPr>
                <w:rFonts w:ascii="Times New Roman" w:eastAsia="Times New Roman" w:hAnsi="Times New Roman" w:cs="Times New Roman"/>
                <w:lang w:eastAsia="fr-FR"/>
              </w:rPr>
              <w:t>Garantie d'achat par des Consommateurs</w:t>
            </w:r>
          </w:p>
        </w:tc>
        <w:tc>
          <w:tcPr>
            <w:tcW w:w="1746" w:type="pct"/>
            <w:noWrap/>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76,3</w:t>
            </w:r>
          </w:p>
        </w:tc>
      </w:tr>
      <w:tr w:rsidR="006D1426" w:rsidRPr="006D1426" w:rsidTr="006D1426">
        <w:trPr>
          <w:trHeight w:val="315"/>
        </w:trPr>
        <w:tc>
          <w:tcPr>
            <w:tcW w:w="3254" w:type="pct"/>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Livraison de céréales grains par des Producteurs</w:t>
            </w:r>
          </w:p>
        </w:tc>
        <w:tc>
          <w:tcPr>
            <w:tcW w:w="1746" w:type="pct"/>
            <w:noWrap/>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0,0</w:t>
            </w:r>
          </w:p>
        </w:tc>
      </w:tr>
      <w:tr w:rsidR="006D1426" w:rsidRPr="006D1426" w:rsidTr="006D1426">
        <w:trPr>
          <w:trHeight w:val="630"/>
        </w:trPr>
        <w:tc>
          <w:tcPr>
            <w:tcW w:w="3254" w:type="pct"/>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Livraison de produits de la transformation primaire et secondaire par des Transformateurs</w:t>
            </w:r>
          </w:p>
        </w:tc>
        <w:tc>
          <w:tcPr>
            <w:tcW w:w="1746" w:type="pct"/>
            <w:noWrap/>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2,6</w:t>
            </w:r>
          </w:p>
        </w:tc>
      </w:tr>
      <w:tr w:rsidR="006D1426" w:rsidRPr="006D1426" w:rsidTr="006D1426">
        <w:trPr>
          <w:trHeight w:val="630"/>
        </w:trPr>
        <w:tc>
          <w:tcPr>
            <w:tcW w:w="3254" w:type="pct"/>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Livraison de produits de la transformation primaire et secondaire par des Grossistes</w:t>
            </w:r>
          </w:p>
        </w:tc>
        <w:tc>
          <w:tcPr>
            <w:tcW w:w="1746" w:type="pct"/>
            <w:noWrap/>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21,1</w:t>
            </w:r>
          </w:p>
        </w:tc>
      </w:tr>
      <w:tr w:rsidR="006D1426" w:rsidRPr="006D1426" w:rsidTr="006D1426">
        <w:trPr>
          <w:trHeight w:val="315"/>
        </w:trPr>
        <w:tc>
          <w:tcPr>
            <w:tcW w:w="3254" w:type="pct"/>
            <w:noWrap/>
            <w:hideMark/>
          </w:tcPr>
          <w:p w:rsidR="006D1426" w:rsidRPr="006D1426" w:rsidRDefault="006D1426" w:rsidP="006D1426">
            <w:pPr>
              <w:rPr>
                <w:rFonts w:ascii="Times New Roman" w:eastAsia="Times New Roman" w:hAnsi="Times New Roman" w:cs="Times New Roman"/>
                <w:b/>
                <w:bCs/>
                <w:color w:val="000000"/>
                <w:lang w:eastAsia="fr-FR"/>
              </w:rPr>
            </w:pPr>
            <w:r w:rsidRPr="006D1426">
              <w:rPr>
                <w:rFonts w:ascii="Times New Roman" w:eastAsia="Times New Roman" w:hAnsi="Times New Roman" w:cs="Times New Roman"/>
                <w:b/>
                <w:bCs/>
                <w:color w:val="000000"/>
                <w:lang w:eastAsia="fr-FR"/>
              </w:rPr>
              <w:t>Exigence du contrat (% de contrats)</w:t>
            </w:r>
          </w:p>
        </w:tc>
        <w:tc>
          <w:tcPr>
            <w:tcW w:w="1746" w:type="pct"/>
            <w:noWrap/>
            <w:hideMark/>
          </w:tcPr>
          <w:p w:rsidR="006D1426" w:rsidRPr="006D1426" w:rsidRDefault="006D1426" w:rsidP="006D1426">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 </w:t>
            </w:r>
          </w:p>
        </w:tc>
      </w:tr>
      <w:tr w:rsidR="00216768" w:rsidRPr="006D1426" w:rsidTr="008905FF">
        <w:trPr>
          <w:trHeight w:val="315"/>
        </w:trPr>
        <w:tc>
          <w:tcPr>
            <w:tcW w:w="3254" w:type="pct"/>
            <w:vAlign w:val="center"/>
            <w:hideMark/>
          </w:tcPr>
          <w:p w:rsidR="00216768" w:rsidRPr="006D1426" w:rsidRDefault="00216768" w:rsidP="00216768">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Produit sans impuretés</w:t>
            </w:r>
          </w:p>
        </w:tc>
        <w:tc>
          <w:tcPr>
            <w:tcW w:w="174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89,5</w:t>
            </w:r>
          </w:p>
        </w:tc>
      </w:tr>
      <w:tr w:rsidR="00216768" w:rsidRPr="006D1426" w:rsidTr="008905FF">
        <w:trPr>
          <w:trHeight w:val="315"/>
        </w:trPr>
        <w:tc>
          <w:tcPr>
            <w:tcW w:w="3254" w:type="pct"/>
            <w:vAlign w:val="center"/>
            <w:hideMark/>
          </w:tcPr>
          <w:p w:rsidR="00216768" w:rsidRPr="006D1426" w:rsidRDefault="00216768" w:rsidP="00216768">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 xml:space="preserve">Produit bien calibré,     </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50,0</w:t>
            </w:r>
          </w:p>
        </w:tc>
      </w:tr>
      <w:tr w:rsidR="00216768" w:rsidRPr="006D1426" w:rsidTr="008905FF">
        <w:trPr>
          <w:trHeight w:val="315"/>
        </w:trPr>
        <w:tc>
          <w:tcPr>
            <w:tcW w:w="3254" w:type="pct"/>
            <w:vAlign w:val="center"/>
            <w:hideMark/>
          </w:tcPr>
          <w:p w:rsidR="00216768" w:rsidRPr="006D1426" w:rsidRDefault="00216768" w:rsidP="00216768">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Produit bien conditionné</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42,1</w:t>
            </w:r>
          </w:p>
        </w:tc>
      </w:tr>
      <w:tr w:rsidR="00216768" w:rsidRPr="006D1426" w:rsidTr="008905FF">
        <w:trPr>
          <w:trHeight w:val="315"/>
        </w:trPr>
        <w:tc>
          <w:tcPr>
            <w:tcW w:w="3254" w:type="pct"/>
            <w:vAlign w:val="center"/>
            <w:hideMark/>
          </w:tcPr>
          <w:p w:rsidR="00216768" w:rsidRPr="006D1426" w:rsidRDefault="00216768" w:rsidP="00216768">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Produit bien trié</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5,3</w:t>
            </w:r>
          </w:p>
        </w:tc>
      </w:tr>
      <w:tr w:rsidR="00216768" w:rsidRPr="006D1426" w:rsidTr="008905FF">
        <w:trPr>
          <w:trHeight w:val="315"/>
        </w:trPr>
        <w:tc>
          <w:tcPr>
            <w:tcW w:w="3254" w:type="pct"/>
            <w:vAlign w:val="center"/>
            <w:hideMark/>
          </w:tcPr>
          <w:p w:rsidR="00216768" w:rsidRPr="006D1426" w:rsidRDefault="00216768" w:rsidP="00216768">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Produit bien séché,</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5,3</w:t>
            </w:r>
          </w:p>
        </w:tc>
      </w:tr>
      <w:tr w:rsidR="00216768" w:rsidRPr="006D1426" w:rsidTr="008905FF">
        <w:trPr>
          <w:trHeight w:val="315"/>
        </w:trPr>
        <w:tc>
          <w:tcPr>
            <w:tcW w:w="3254" w:type="pct"/>
            <w:vAlign w:val="center"/>
            <w:hideMark/>
          </w:tcPr>
          <w:p w:rsidR="00216768" w:rsidRPr="006D1426" w:rsidRDefault="00216768" w:rsidP="00216768">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Produit certifié</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7,9</w:t>
            </w:r>
          </w:p>
        </w:tc>
      </w:tr>
      <w:tr w:rsidR="00216768" w:rsidRPr="006D1426" w:rsidTr="008905FF">
        <w:trPr>
          <w:trHeight w:val="315"/>
        </w:trPr>
        <w:tc>
          <w:tcPr>
            <w:tcW w:w="3254" w:type="pct"/>
            <w:vAlign w:val="center"/>
            <w:hideMark/>
          </w:tcPr>
          <w:p w:rsidR="00216768" w:rsidRPr="006D1426" w:rsidRDefault="00216768" w:rsidP="00216768">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Quantité minimale exigée</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26,3</w:t>
            </w:r>
          </w:p>
        </w:tc>
      </w:tr>
      <w:tr w:rsidR="00216768" w:rsidRPr="006D1426" w:rsidTr="008905FF">
        <w:trPr>
          <w:trHeight w:val="315"/>
        </w:trPr>
        <w:tc>
          <w:tcPr>
            <w:tcW w:w="3254" w:type="pct"/>
            <w:shd w:val="clear" w:color="auto" w:fill="D9D9D9"/>
            <w:noWrap/>
            <w:hideMark/>
          </w:tcPr>
          <w:p w:rsidR="00216768" w:rsidRPr="006D1426" w:rsidRDefault="00216768" w:rsidP="00216768">
            <w:pPr>
              <w:rPr>
                <w:rFonts w:ascii="Times New Roman" w:eastAsia="Times New Roman" w:hAnsi="Times New Roman" w:cs="Times New Roman"/>
                <w:b/>
                <w:bCs/>
                <w:color w:val="000000"/>
                <w:lang w:eastAsia="fr-FR"/>
              </w:rPr>
            </w:pPr>
            <w:r w:rsidRPr="006D1426">
              <w:rPr>
                <w:rFonts w:ascii="Times New Roman" w:eastAsia="Times New Roman" w:hAnsi="Times New Roman" w:cs="Times New Roman"/>
                <w:b/>
                <w:bCs/>
                <w:color w:val="000000"/>
                <w:lang w:eastAsia="fr-FR"/>
              </w:rPr>
              <w:t>Lieu de livraison</w:t>
            </w:r>
          </w:p>
        </w:tc>
        <w:tc>
          <w:tcPr>
            <w:tcW w:w="1746" w:type="pct"/>
            <w:tcBorders>
              <w:top w:val="nil"/>
              <w:left w:val="single" w:sz="8" w:space="0" w:color="auto"/>
              <w:bottom w:val="single" w:sz="8" w:space="0" w:color="auto"/>
              <w:right w:val="single" w:sz="8" w:space="0" w:color="auto"/>
            </w:tcBorders>
            <w:shd w:val="clear" w:color="000000" w:fill="D9D9D9"/>
            <w:noWrap/>
            <w:vAlign w:val="center"/>
            <w:hideMark/>
          </w:tcPr>
          <w:p w:rsidR="00216768" w:rsidRPr="00216768" w:rsidRDefault="00216768" w:rsidP="00216768">
            <w:pPr>
              <w:rPr>
                <w:rFonts w:ascii="Times New Roman" w:hAnsi="Times New Roman" w:cs="Times New Roman"/>
                <w:b/>
                <w:bCs/>
                <w:color w:val="000000"/>
              </w:rPr>
            </w:pPr>
            <w:r w:rsidRPr="00216768">
              <w:rPr>
                <w:rFonts w:ascii="Times New Roman" w:hAnsi="Times New Roman" w:cs="Times New Roman"/>
                <w:b/>
                <w:bCs/>
                <w:color w:val="000000"/>
              </w:rPr>
              <w:t> </w:t>
            </w:r>
          </w:p>
        </w:tc>
      </w:tr>
      <w:tr w:rsidR="00216768" w:rsidRPr="006D1426" w:rsidTr="008905FF">
        <w:trPr>
          <w:trHeight w:val="315"/>
        </w:trPr>
        <w:tc>
          <w:tcPr>
            <w:tcW w:w="3254" w:type="pct"/>
            <w:hideMark/>
          </w:tcPr>
          <w:p w:rsidR="00216768" w:rsidRPr="006D1426" w:rsidRDefault="00216768" w:rsidP="00216768">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 xml:space="preserve">Chez le transformateur (entreprise), </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5,1</w:t>
            </w:r>
          </w:p>
        </w:tc>
      </w:tr>
      <w:tr w:rsidR="00216768" w:rsidRPr="006D1426" w:rsidTr="008905FF">
        <w:trPr>
          <w:trHeight w:val="315"/>
        </w:trPr>
        <w:tc>
          <w:tcPr>
            <w:tcW w:w="3254" w:type="pct"/>
            <w:hideMark/>
          </w:tcPr>
          <w:p w:rsidR="00216768" w:rsidRPr="006D1426" w:rsidRDefault="00216768" w:rsidP="00216768">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lastRenderedPageBreak/>
              <w:t>Chez l’acheteur</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64,1</w:t>
            </w:r>
          </w:p>
        </w:tc>
      </w:tr>
      <w:tr w:rsidR="00216768" w:rsidRPr="006D1426" w:rsidTr="008905FF">
        <w:trPr>
          <w:trHeight w:val="315"/>
        </w:trPr>
        <w:tc>
          <w:tcPr>
            <w:tcW w:w="3254" w:type="pct"/>
            <w:hideMark/>
          </w:tcPr>
          <w:p w:rsidR="00216768" w:rsidRPr="006D1426" w:rsidRDefault="00216768" w:rsidP="00216768">
            <w:pPr>
              <w:rPr>
                <w:rFonts w:ascii="Times New Roman" w:eastAsia="Times New Roman" w:hAnsi="Times New Roman" w:cs="Times New Roman"/>
                <w:color w:val="000000"/>
                <w:lang w:eastAsia="fr-FR"/>
              </w:rPr>
            </w:pPr>
            <w:r w:rsidRPr="006D1426">
              <w:rPr>
                <w:rFonts w:ascii="Times New Roman" w:eastAsia="Times New Roman" w:hAnsi="Times New Roman" w:cs="Times New Roman"/>
                <w:color w:val="000000"/>
                <w:lang w:eastAsia="fr-FR"/>
              </w:rPr>
              <w:t>Marché</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30,8</w:t>
            </w:r>
          </w:p>
        </w:tc>
      </w:tr>
      <w:tr w:rsidR="00216768" w:rsidRPr="006D1426" w:rsidTr="008905FF">
        <w:trPr>
          <w:trHeight w:val="315"/>
        </w:trPr>
        <w:tc>
          <w:tcPr>
            <w:tcW w:w="3254" w:type="pct"/>
            <w:noWrap/>
            <w:hideMark/>
          </w:tcPr>
          <w:p w:rsidR="00216768" w:rsidRPr="006D1426" w:rsidRDefault="00216768" w:rsidP="00216768">
            <w:pPr>
              <w:rPr>
                <w:rFonts w:ascii="Times New Roman" w:eastAsia="Times New Roman" w:hAnsi="Times New Roman" w:cs="Times New Roman"/>
                <w:b/>
                <w:bCs/>
                <w:color w:val="000000"/>
                <w:lang w:eastAsia="fr-FR"/>
              </w:rPr>
            </w:pPr>
            <w:r w:rsidRPr="006D1426">
              <w:rPr>
                <w:rFonts w:ascii="Times New Roman" w:eastAsia="Times New Roman" w:hAnsi="Times New Roman" w:cs="Times New Roman"/>
                <w:b/>
                <w:bCs/>
                <w:color w:val="000000"/>
                <w:lang w:eastAsia="fr-FR"/>
              </w:rPr>
              <w:t>Durée moyenne du contrat en mois</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14,0</w:t>
            </w:r>
          </w:p>
        </w:tc>
      </w:tr>
      <w:tr w:rsidR="00216768" w:rsidRPr="006D1426" w:rsidTr="008905FF">
        <w:trPr>
          <w:trHeight w:val="315"/>
        </w:trPr>
        <w:tc>
          <w:tcPr>
            <w:tcW w:w="3254" w:type="pct"/>
            <w:noWrap/>
            <w:hideMark/>
          </w:tcPr>
          <w:p w:rsidR="00216768" w:rsidRPr="006D1426" w:rsidRDefault="00216768" w:rsidP="00216768">
            <w:pPr>
              <w:rPr>
                <w:rFonts w:ascii="Times New Roman" w:eastAsia="Times New Roman" w:hAnsi="Times New Roman" w:cs="Times New Roman"/>
                <w:b/>
                <w:bCs/>
                <w:lang w:eastAsia="fr-FR"/>
              </w:rPr>
            </w:pPr>
            <w:r w:rsidRPr="006D1426">
              <w:rPr>
                <w:rFonts w:ascii="Times New Roman" w:eastAsia="Times New Roman" w:hAnsi="Times New Roman" w:cs="Times New Roman"/>
                <w:b/>
                <w:bCs/>
                <w:lang w:eastAsia="fr-FR"/>
              </w:rPr>
              <w:t xml:space="preserve">Nombre moyen de contrats en cours </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1,2</w:t>
            </w:r>
          </w:p>
        </w:tc>
      </w:tr>
      <w:tr w:rsidR="00216768" w:rsidRPr="006D1426" w:rsidTr="008905FF">
        <w:trPr>
          <w:trHeight w:val="315"/>
        </w:trPr>
        <w:tc>
          <w:tcPr>
            <w:tcW w:w="3254" w:type="pct"/>
            <w:shd w:val="clear" w:color="auto" w:fill="D9D9D9"/>
            <w:noWrap/>
            <w:hideMark/>
          </w:tcPr>
          <w:p w:rsidR="00216768" w:rsidRPr="006D1426" w:rsidRDefault="00216768" w:rsidP="00216768">
            <w:pPr>
              <w:rPr>
                <w:rFonts w:ascii="Times New Roman" w:eastAsia="Times New Roman" w:hAnsi="Times New Roman" w:cs="Times New Roman"/>
                <w:b/>
                <w:bCs/>
                <w:lang w:eastAsia="fr-FR"/>
              </w:rPr>
            </w:pPr>
            <w:r w:rsidRPr="006D1426">
              <w:rPr>
                <w:rFonts w:ascii="Times New Roman" w:eastAsia="Times New Roman" w:hAnsi="Times New Roman" w:cs="Times New Roman"/>
                <w:b/>
                <w:bCs/>
                <w:lang w:eastAsia="fr-FR"/>
              </w:rPr>
              <w:t>Contraintes et facteurs limitant des contrats</w:t>
            </w:r>
          </w:p>
        </w:tc>
        <w:tc>
          <w:tcPr>
            <w:tcW w:w="1746" w:type="pct"/>
            <w:tcBorders>
              <w:top w:val="nil"/>
              <w:left w:val="single" w:sz="8" w:space="0" w:color="auto"/>
              <w:bottom w:val="single" w:sz="8" w:space="0" w:color="auto"/>
              <w:right w:val="single" w:sz="8" w:space="0" w:color="auto"/>
            </w:tcBorders>
            <w:shd w:val="clear" w:color="000000" w:fill="D9D9D9"/>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 </w:t>
            </w:r>
          </w:p>
        </w:tc>
      </w:tr>
      <w:tr w:rsidR="00216768" w:rsidRPr="006D1426" w:rsidTr="008905FF">
        <w:trPr>
          <w:trHeight w:val="315"/>
        </w:trPr>
        <w:tc>
          <w:tcPr>
            <w:tcW w:w="3254" w:type="pct"/>
            <w:noWrap/>
            <w:hideMark/>
          </w:tcPr>
          <w:p w:rsidR="00216768" w:rsidRPr="006D1426" w:rsidRDefault="00216768" w:rsidP="00216768">
            <w:pPr>
              <w:rPr>
                <w:rFonts w:ascii="Times New Roman" w:eastAsia="Times New Roman" w:hAnsi="Times New Roman" w:cs="Times New Roman"/>
                <w:bCs/>
                <w:lang w:eastAsia="fr-FR"/>
              </w:rPr>
            </w:pPr>
            <w:r w:rsidRPr="006D1426">
              <w:rPr>
                <w:rFonts w:ascii="Times New Roman" w:eastAsia="Times New Roman" w:hAnsi="Times New Roman" w:cs="Times New Roman"/>
                <w:bCs/>
                <w:lang w:eastAsia="fr-FR"/>
              </w:rPr>
              <w:t>Non-respect des engagements (%)</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68,4</w:t>
            </w:r>
          </w:p>
        </w:tc>
      </w:tr>
      <w:tr w:rsidR="00216768" w:rsidRPr="006D1426" w:rsidTr="008905FF">
        <w:trPr>
          <w:trHeight w:val="315"/>
        </w:trPr>
        <w:tc>
          <w:tcPr>
            <w:tcW w:w="3254" w:type="pct"/>
            <w:noWrap/>
            <w:hideMark/>
          </w:tcPr>
          <w:p w:rsidR="00216768" w:rsidRPr="006D1426" w:rsidRDefault="00216768" w:rsidP="00216768">
            <w:pPr>
              <w:rPr>
                <w:rFonts w:ascii="Times New Roman" w:eastAsia="Times New Roman" w:hAnsi="Times New Roman" w:cs="Times New Roman"/>
                <w:bCs/>
                <w:lang w:eastAsia="fr-FR"/>
              </w:rPr>
            </w:pPr>
            <w:r w:rsidRPr="006D1426">
              <w:rPr>
                <w:rFonts w:ascii="Times New Roman" w:eastAsia="Times New Roman" w:hAnsi="Times New Roman" w:cs="Times New Roman"/>
                <w:bCs/>
                <w:lang w:eastAsia="fr-FR"/>
              </w:rPr>
              <w:t>Prix plus faibles par rapport au marché (%)</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7,9</w:t>
            </w:r>
          </w:p>
        </w:tc>
      </w:tr>
      <w:tr w:rsidR="00216768" w:rsidRPr="006D1426" w:rsidTr="008905FF">
        <w:trPr>
          <w:trHeight w:val="315"/>
        </w:trPr>
        <w:tc>
          <w:tcPr>
            <w:tcW w:w="3254" w:type="pct"/>
            <w:noWrap/>
            <w:hideMark/>
          </w:tcPr>
          <w:p w:rsidR="00216768" w:rsidRPr="006D1426" w:rsidRDefault="00216768" w:rsidP="00216768">
            <w:pPr>
              <w:rPr>
                <w:rFonts w:ascii="Times New Roman" w:eastAsia="Times New Roman" w:hAnsi="Times New Roman" w:cs="Times New Roman"/>
                <w:bCs/>
                <w:lang w:eastAsia="fr-FR"/>
              </w:rPr>
            </w:pPr>
            <w:r w:rsidRPr="006D1426">
              <w:rPr>
                <w:rFonts w:ascii="Times New Roman" w:eastAsia="Times New Roman" w:hAnsi="Times New Roman" w:cs="Times New Roman"/>
                <w:bCs/>
                <w:lang w:eastAsia="fr-FR"/>
              </w:rPr>
              <w:t>Caractère éphémère des contrats (%)</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23,7</w:t>
            </w:r>
          </w:p>
        </w:tc>
      </w:tr>
      <w:tr w:rsidR="00216768" w:rsidRPr="006D1426" w:rsidTr="008905FF">
        <w:trPr>
          <w:trHeight w:val="315"/>
        </w:trPr>
        <w:tc>
          <w:tcPr>
            <w:tcW w:w="3254" w:type="pct"/>
            <w:noWrap/>
            <w:hideMark/>
          </w:tcPr>
          <w:p w:rsidR="00216768" w:rsidRPr="006D1426" w:rsidRDefault="00216768" w:rsidP="00216768">
            <w:pPr>
              <w:rPr>
                <w:rFonts w:ascii="Times New Roman" w:eastAsia="Times New Roman" w:hAnsi="Times New Roman" w:cs="Times New Roman"/>
                <w:bCs/>
                <w:lang w:eastAsia="fr-FR"/>
              </w:rPr>
            </w:pPr>
            <w:r w:rsidRPr="006D1426">
              <w:rPr>
                <w:rFonts w:ascii="Times New Roman" w:eastAsia="Times New Roman" w:hAnsi="Times New Roman" w:cs="Times New Roman"/>
                <w:bCs/>
                <w:lang w:eastAsia="fr-FR"/>
              </w:rPr>
              <w:t>Contrat à faible valeur juridique (%)</w:t>
            </w:r>
          </w:p>
        </w:tc>
        <w:tc>
          <w:tcPr>
            <w:tcW w:w="1746" w:type="pct"/>
            <w:tcBorders>
              <w:top w:val="nil"/>
              <w:left w:val="single" w:sz="8" w:space="0" w:color="auto"/>
              <w:bottom w:val="single" w:sz="8" w:space="0" w:color="auto"/>
              <w:right w:val="single" w:sz="8" w:space="0" w:color="auto"/>
            </w:tcBorders>
            <w:shd w:val="clear" w:color="auto" w:fill="auto"/>
            <w:noWrap/>
            <w:vAlign w:val="center"/>
            <w:hideMark/>
          </w:tcPr>
          <w:p w:rsidR="00216768" w:rsidRPr="00216768" w:rsidRDefault="00216768" w:rsidP="00216768">
            <w:pPr>
              <w:rPr>
                <w:rFonts w:ascii="Times New Roman" w:hAnsi="Times New Roman" w:cs="Times New Roman"/>
                <w:color w:val="000000"/>
              </w:rPr>
            </w:pPr>
            <w:r w:rsidRPr="00216768">
              <w:rPr>
                <w:rFonts w:ascii="Times New Roman" w:hAnsi="Times New Roman" w:cs="Times New Roman"/>
                <w:color w:val="000000"/>
              </w:rPr>
              <w:t>29,0</w:t>
            </w:r>
          </w:p>
        </w:tc>
      </w:tr>
    </w:tbl>
    <w:p w:rsidR="006D1426" w:rsidRPr="006D1426" w:rsidRDefault="006D1426" w:rsidP="006D1426">
      <w:pPr>
        <w:spacing w:after="0"/>
        <w:rPr>
          <w:rFonts w:ascii="Times New Roman" w:hAnsi="Times New Roman"/>
        </w:rPr>
      </w:pPr>
      <w:r w:rsidRPr="006D1426">
        <w:rPr>
          <w:rFonts w:ascii="Times New Roman" w:hAnsi="Times New Roman"/>
        </w:rPr>
        <w:t>Source : Données PAPA, 2018</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L’</w:t>
      </w:r>
      <w:r w:rsidR="00184205">
        <w:rPr>
          <w:rFonts w:ascii="Times New Roman" w:hAnsi="Times New Roman"/>
          <w:sz w:val="24"/>
        </w:rPr>
        <w:t>analyse des</w:t>
      </w:r>
      <w:r w:rsidR="00216768">
        <w:rPr>
          <w:rFonts w:ascii="Times New Roman" w:hAnsi="Times New Roman"/>
          <w:sz w:val="24"/>
        </w:rPr>
        <w:t xml:space="preserve"> données du tableau 12</w:t>
      </w:r>
      <w:r w:rsidRPr="006D1426">
        <w:rPr>
          <w:rFonts w:ascii="Times New Roman" w:hAnsi="Times New Roman"/>
          <w:sz w:val="24"/>
        </w:rPr>
        <w:t xml:space="preserve"> montre que les détaillants ne sont pas très impliqués dans les réseaux de commerçants. Seuls 9% d’entre eux étaient membres d’une organisation de commerçants en 2015. Cette proportion est quasiment restée la même en 2018. Les organisations fournissent principalement des conseils de vente aux détaillants. Elles permettent aussi de réduire les coûts des transactions grâce à l’achat groupé de marchandises.</w:t>
      </w:r>
    </w:p>
    <w:p w:rsidR="006D1426" w:rsidRPr="006D1426" w:rsidRDefault="00216768" w:rsidP="00216768">
      <w:pPr>
        <w:pStyle w:val="Lgende"/>
        <w:rPr>
          <w:iCs w:val="0"/>
          <w:szCs w:val="24"/>
        </w:rPr>
      </w:pPr>
      <w:bookmarkStart w:id="74" w:name="_Toc1484499"/>
      <w:bookmarkStart w:id="75" w:name="_Toc3549400"/>
      <w:bookmarkStart w:id="76" w:name="_Toc34303309"/>
      <w:r w:rsidRPr="00216768">
        <w:rPr>
          <w:b/>
        </w:rPr>
        <w:t xml:space="preserve">Tableau </w:t>
      </w:r>
      <w:r w:rsidRPr="00216768">
        <w:rPr>
          <w:b/>
        </w:rPr>
        <w:fldChar w:fldCharType="begin"/>
      </w:r>
      <w:r w:rsidRPr="00216768">
        <w:rPr>
          <w:b/>
        </w:rPr>
        <w:instrText xml:space="preserve"> SEQ Tableau \* ARABIC </w:instrText>
      </w:r>
      <w:r w:rsidRPr="00216768">
        <w:rPr>
          <w:b/>
        </w:rPr>
        <w:fldChar w:fldCharType="separate"/>
      </w:r>
      <w:r w:rsidR="00900EA8">
        <w:rPr>
          <w:b/>
          <w:noProof/>
        </w:rPr>
        <w:t>12</w:t>
      </w:r>
      <w:r w:rsidRPr="00216768">
        <w:rPr>
          <w:b/>
        </w:rPr>
        <w:fldChar w:fldCharType="end"/>
      </w:r>
      <w:r w:rsidR="006D1426" w:rsidRPr="006D1426">
        <w:rPr>
          <w:iCs w:val="0"/>
          <w:szCs w:val="24"/>
        </w:rPr>
        <w:t>: Appartenance à des organisations</w:t>
      </w:r>
      <w:bookmarkEnd w:id="74"/>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4"/>
        <w:gridCol w:w="1248"/>
      </w:tblGrid>
      <w:tr w:rsidR="006D1426" w:rsidRPr="006D1426" w:rsidTr="006D1426">
        <w:trPr>
          <w:trHeight w:val="630"/>
        </w:trPr>
        <w:tc>
          <w:tcPr>
            <w:tcW w:w="4147" w:type="pct"/>
            <w:shd w:val="clear" w:color="auto" w:fill="auto"/>
            <w:hideMark/>
          </w:tcPr>
          <w:p w:rsidR="006D1426" w:rsidRPr="006D1426" w:rsidRDefault="006D1426" w:rsidP="006D1426">
            <w:pPr>
              <w:spacing w:after="0" w:line="240" w:lineRule="auto"/>
              <w:rPr>
                <w:rFonts w:ascii="Times New Roman" w:eastAsia="Times New Roman" w:hAnsi="Times New Roman"/>
                <w:b/>
                <w:bCs/>
                <w:sz w:val="24"/>
                <w:szCs w:val="24"/>
                <w:lang w:eastAsia="fr-FR"/>
              </w:rPr>
            </w:pPr>
            <w:r w:rsidRPr="006D1426">
              <w:rPr>
                <w:rFonts w:ascii="Times New Roman" w:eastAsia="Times New Roman" w:hAnsi="Times New Roman"/>
                <w:b/>
                <w:bCs/>
                <w:sz w:val="24"/>
                <w:szCs w:val="24"/>
                <w:lang w:eastAsia="fr-FR"/>
              </w:rPr>
              <w:t>Proportion de commerçants membres d'une organisation de commerçants en 2015 (%, N=582)</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9,01</w:t>
            </w:r>
          </w:p>
        </w:tc>
      </w:tr>
      <w:tr w:rsidR="006D1426" w:rsidRPr="006D1426" w:rsidTr="006D1426">
        <w:trPr>
          <w:trHeight w:val="630"/>
        </w:trPr>
        <w:tc>
          <w:tcPr>
            <w:tcW w:w="4147" w:type="pct"/>
            <w:shd w:val="clear" w:color="auto" w:fill="auto"/>
            <w:hideMark/>
          </w:tcPr>
          <w:p w:rsidR="006D1426" w:rsidRPr="006D1426" w:rsidRDefault="006D1426" w:rsidP="006D1426">
            <w:pPr>
              <w:spacing w:after="0" w:line="240" w:lineRule="auto"/>
              <w:rPr>
                <w:rFonts w:ascii="Times New Roman" w:eastAsia="Times New Roman" w:hAnsi="Times New Roman"/>
                <w:b/>
                <w:bCs/>
                <w:sz w:val="24"/>
                <w:szCs w:val="24"/>
                <w:lang w:eastAsia="fr-FR"/>
              </w:rPr>
            </w:pPr>
            <w:r w:rsidRPr="006D1426">
              <w:rPr>
                <w:rFonts w:ascii="Times New Roman" w:eastAsia="Times New Roman" w:hAnsi="Times New Roman"/>
                <w:b/>
                <w:bCs/>
                <w:sz w:val="24"/>
                <w:szCs w:val="24"/>
                <w:lang w:eastAsia="fr-FR"/>
              </w:rPr>
              <w:t>Proportion de commerçants membres d'une organisation de commerçants en 2018 (%, N=582)</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8,59</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Ancienneté moyenne dans l'organisation</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4,5</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
                <w:bCs/>
                <w:sz w:val="24"/>
                <w:szCs w:val="24"/>
                <w:lang w:eastAsia="fr-FR"/>
              </w:rPr>
            </w:pPr>
            <w:r w:rsidRPr="006D1426">
              <w:rPr>
                <w:rFonts w:ascii="Times New Roman" w:eastAsia="Times New Roman" w:hAnsi="Times New Roman"/>
                <w:b/>
                <w:bCs/>
                <w:sz w:val="24"/>
                <w:szCs w:val="24"/>
                <w:lang w:eastAsia="fr-FR"/>
              </w:rPr>
              <w:t>Proportion de commerçants membres du bureau de l'organisation ( %)</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18</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
                <w:bCs/>
                <w:sz w:val="24"/>
                <w:szCs w:val="24"/>
                <w:lang w:eastAsia="fr-FR"/>
              </w:rPr>
            </w:pPr>
            <w:r w:rsidRPr="006D1426">
              <w:rPr>
                <w:rFonts w:ascii="Times New Roman" w:eastAsia="Times New Roman" w:hAnsi="Times New Roman"/>
                <w:b/>
                <w:bCs/>
                <w:sz w:val="24"/>
                <w:szCs w:val="24"/>
                <w:lang w:eastAsia="fr-FR"/>
              </w:rPr>
              <w:t>Apport de l'organisation aux besoins et activités de l'entreprise (%)</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
                <w:bCs/>
                <w:sz w:val="24"/>
                <w:szCs w:val="24"/>
                <w:lang w:eastAsia="fr-FR"/>
              </w:rPr>
            </w:pPr>
            <w:r w:rsidRPr="006D1426">
              <w:rPr>
                <w:rFonts w:ascii="Times New Roman" w:eastAsia="Times New Roman" w:hAnsi="Times New Roman"/>
                <w:b/>
                <w:bCs/>
                <w:sz w:val="24"/>
                <w:szCs w:val="24"/>
                <w:lang w:eastAsia="fr-FR"/>
              </w:rPr>
              <w:t> </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Conseils sur la pratique de la vente au détail;</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30,12</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Conseil sur l’application des prix</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21,69</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vérification de la qualité des produits utilisés comme intrants</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2,41</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Vérification de la qualité des produits finis</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0</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Conditionnement des commandes groupées comme les coopératives de marché</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3,61</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Acquisition de matériel de conditionnement</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1,2</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Achat groupé de grains de riz/mil/maïs/sorgho pour la vente au détail</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3,61</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Facilitation de l’accès au crédit</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16,87</w:t>
            </w:r>
          </w:p>
        </w:tc>
      </w:tr>
      <w:tr w:rsidR="006D1426" w:rsidRPr="006D1426" w:rsidTr="006D1426">
        <w:trPr>
          <w:trHeight w:val="60"/>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 xml:space="preserve">Autre </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20,48</w:t>
            </w:r>
          </w:p>
        </w:tc>
      </w:tr>
      <w:tr w:rsidR="006D1426" w:rsidRPr="006D1426" w:rsidTr="006D1426">
        <w:trPr>
          <w:trHeight w:val="315"/>
        </w:trPr>
        <w:tc>
          <w:tcPr>
            <w:tcW w:w="4147"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Total</w:t>
            </w:r>
          </w:p>
        </w:tc>
        <w:tc>
          <w:tcPr>
            <w:tcW w:w="853" w:type="pct"/>
            <w:shd w:val="clear" w:color="auto" w:fill="auto"/>
            <w:noWrap/>
            <w:hideMark/>
          </w:tcPr>
          <w:p w:rsidR="006D1426" w:rsidRPr="006D1426" w:rsidRDefault="006D1426" w:rsidP="006D1426">
            <w:pPr>
              <w:spacing w:after="0" w:line="240" w:lineRule="auto"/>
              <w:rPr>
                <w:rFonts w:ascii="Times New Roman" w:eastAsia="Times New Roman" w:hAnsi="Times New Roman"/>
                <w:bCs/>
                <w:sz w:val="24"/>
                <w:szCs w:val="24"/>
                <w:lang w:eastAsia="fr-FR"/>
              </w:rPr>
            </w:pPr>
            <w:r w:rsidRPr="006D1426">
              <w:rPr>
                <w:rFonts w:ascii="Times New Roman" w:eastAsia="Times New Roman" w:hAnsi="Times New Roman"/>
                <w:bCs/>
                <w:sz w:val="24"/>
                <w:szCs w:val="24"/>
                <w:lang w:eastAsia="fr-FR"/>
              </w:rPr>
              <w:t>100</w:t>
            </w:r>
          </w:p>
        </w:tc>
      </w:tr>
    </w:tbl>
    <w:p w:rsidR="006D1426" w:rsidRPr="006D1426" w:rsidRDefault="006D1426" w:rsidP="006D1426">
      <w:pPr>
        <w:rPr>
          <w:rFonts w:ascii="Times New Roman" w:hAnsi="Times New Roman"/>
          <w:sz w:val="24"/>
        </w:rPr>
      </w:pPr>
      <w:r w:rsidRPr="006D1426">
        <w:rPr>
          <w:rFonts w:ascii="Times New Roman" w:hAnsi="Times New Roman"/>
        </w:rPr>
        <w:t>Source : Données PAPA, 2018</w:t>
      </w:r>
    </w:p>
    <w:p w:rsidR="006D1426" w:rsidRPr="006D1426" w:rsidRDefault="00F658E0" w:rsidP="006D1426">
      <w:pPr>
        <w:spacing w:before="120" w:after="120" w:line="360" w:lineRule="auto"/>
        <w:jc w:val="both"/>
        <w:rPr>
          <w:rFonts w:ascii="Times New Roman" w:hAnsi="Times New Roman"/>
          <w:sz w:val="24"/>
        </w:rPr>
      </w:pPr>
      <w:r>
        <w:rPr>
          <w:rFonts w:ascii="Times New Roman" w:hAnsi="Times New Roman"/>
          <w:sz w:val="24"/>
        </w:rPr>
        <w:t>Les données du tableau 13</w:t>
      </w:r>
      <w:r w:rsidR="006D1426" w:rsidRPr="006D1426">
        <w:rPr>
          <w:rFonts w:ascii="Times New Roman" w:hAnsi="Times New Roman"/>
          <w:sz w:val="24"/>
        </w:rPr>
        <w:t xml:space="preserve"> montrent que les détaillants sont très peu formés sur la pratique de leurs activités. Seuls 0,7% d’entre eux ont reçu une formation durant les 12 mois précédent l’enquête. Cette faiblesse de la formation professionnelle constitue à l’essor de ces entreprises et les rend vulnérables à la concurrence extérieure. Ainsi, 39% des détaillants souhaiteraient recevoir une formation. Les domaines les plus prisés sont les pratiques de la vente, les </w:t>
      </w:r>
      <w:r w:rsidR="006D1426" w:rsidRPr="006D1426">
        <w:rPr>
          <w:rFonts w:ascii="Times New Roman" w:hAnsi="Times New Roman"/>
          <w:sz w:val="24"/>
        </w:rPr>
        <w:lastRenderedPageBreak/>
        <w:t>techniques de comptabilité/gestion et le marketing. Ces formations sont nécessaires pour renforcer les capacités des entreprises.</w:t>
      </w:r>
    </w:p>
    <w:p w:rsidR="006D1426" w:rsidRPr="006D1426" w:rsidRDefault="00F658E0" w:rsidP="00F658E0">
      <w:pPr>
        <w:pStyle w:val="Lgende"/>
        <w:rPr>
          <w:iCs w:val="0"/>
          <w:szCs w:val="24"/>
        </w:rPr>
      </w:pPr>
      <w:bookmarkStart w:id="77" w:name="_Toc1484500"/>
      <w:bookmarkStart w:id="78" w:name="_Toc3549401"/>
      <w:bookmarkStart w:id="79" w:name="_Toc34303310"/>
      <w:r w:rsidRPr="00F658E0">
        <w:rPr>
          <w:b/>
        </w:rPr>
        <w:t xml:space="preserve">Tableau </w:t>
      </w:r>
      <w:r w:rsidRPr="00F658E0">
        <w:rPr>
          <w:b/>
        </w:rPr>
        <w:fldChar w:fldCharType="begin"/>
      </w:r>
      <w:r w:rsidRPr="00F658E0">
        <w:rPr>
          <w:b/>
        </w:rPr>
        <w:instrText xml:space="preserve"> SEQ Tableau \* ARABIC </w:instrText>
      </w:r>
      <w:r w:rsidRPr="00F658E0">
        <w:rPr>
          <w:b/>
        </w:rPr>
        <w:fldChar w:fldCharType="separate"/>
      </w:r>
      <w:r w:rsidR="00900EA8">
        <w:rPr>
          <w:b/>
          <w:noProof/>
        </w:rPr>
        <w:t>13</w:t>
      </w:r>
      <w:r w:rsidRPr="00F658E0">
        <w:rPr>
          <w:b/>
        </w:rPr>
        <w:fldChar w:fldCharType="end"/>
      </w:r>
      <w:r w:rsidR="006D1426" w:rsidRPr="006D1426">
        <w:rPr>
          <w:iCs w:val="0"/>
          <w:noProof/>
          <w:szCs w:val="24"/>
        </w:rPr>
        <w:t>: La formation chez les détaillants de céréales</w:t>
      </w:r>
      <w:bookmarkEnd w:id="77"/>
      <w:bookmarkEnd w:id="78"/>
      <w:bookmarkEnd w:id="79"/>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2053"/>
      </w:tblGrid>
      <w:tr w:rsidR="00F658E0" w:rsidRPr="006D1426" w:rsidTr="00F658E0">
        <w:trPr>
          <w:trHeight w:val="903"/>
        </w:trPr>
        <w:tc>
          <w:tcPr>
            <w:tcW w:w="3867" w:type="pct"/>
            <w:shd w:val="clear" w:color="auto" w:fill="auto"/>
            <w:hideMark/>
          </w:tcPr>
          <w:p w:rsidR="00F658E0" w:rsidRPr="006D1426" w:rsidRDefault="00F658E0" w:rsidP="00F658E0">
            <w:pPr>
              <w:spacing w:after="0" w:line="240" w:lineRule="auto"/>
              <w:rPr>
                <w:rFonts w:ascii="Times New Roman" w:eastAsia="Times New Roman" w:hAnsi="Times New Roman"/>
                <w:b/>
                <w:bCs/>
                <w:lang w:eastAsia="fr-FR"/>
              </w:rPr>
            </w:pPr>
            <w:r w:rsidRPr="006D1426">
              <w:rPr>
                <w:rFonts w:ascii="Times New Roman" w:eastAsia="Times New Roman" w:hAnsi="Times New Roman"/>
                <w:b/>
                <w:bCs/>
                <w:lang w:eastAsia="fr-FR"/>
              </w:rPr>
              <w:t>Part des entreprises dans lesquelles un des membres a reçu une formation de la part d’entités non gouvernementales au cours des 12 derniers mois (%)</w:t>
            </w:r>
          </w:p>
        </w:tc>
        <w:tc>
          <w:tcPr>
            <w:tcW w:w="11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color w:val="000000"/>
              </w:rPr>
            </w:pPr>
            <w:r w:rsidRPr="00F658E0">
              <w:rPr>
                <w:rFonts w:ascii="Times New Roman" w:hAnsi="Times New Roman" w:cs="Times New Roman"/>
                <w:color w:val="000000"/>
              </w:rPr>
              <w:t>0,7</w:t>
            </w:r>
          </w:p>
        </w:tc>
      </w:tr>
      <w:tr w:rsidR="00F658E0" w:rsidRPr="006D1426" w:rsidTr="00803078">
        <w:trPr>
          <w:trHeight w:val="262"/>
        </w:trPr>
        <w:tc>
          <w:tcPr>
            <w:tcW w:w="3867" w:type="pct"/>
            <w:shd w:val="clear" w:color="auto" w:fill="auto"/>
            <w:noWrap/>
            <w:hideMark/>
          </w:tcPr>
          <w:p w:rsidR="00F658E0" w:rsidRPr="006D1426" w:rsidRDefault="00F658E0" w:rsidP="00F658E0">
            <w:pPr>
              <w:spacing w:after="0" w:line="240" w:lineRule="auto"/>
              <w:rPr>
                <w:rFonts w:ascii="Times New Roman" w:eastAsia="Times New Roman" w:hAnsi="Times New Roman"/>
                <w:b/>
                <w:color w:val="000000"/>
                <w:lang w:eastAsia="fr-FR"/>
              </w:rPr>
            </w:pPr>
            <w:r w:rsidRPr="006D1426">
              <w:rPr>
                <w:rFonts w:ascii="Times New Roman" w:eastAsia="Times New Roman" w:hAnsi="Times New Roman"/>
                <w:b/>
                <w:color w:val="000000"/>
                <w:lang w:eastAsia="fr-FR"/>
              </w:rPr>
              <w:t>Part des entreprises ayant un besoin de formation (%)</w:t>
            </w:r>
          </w:p>
        </w:tc>
        <w:tc>
          <w:tcPr>
            <w:tcW w:w="1133" w:type="pct"/>
            <w:tcBorders>
              <w:top w:val="nil"/>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b/>
                <w:bCs/>
                <w:color w:val="000000"/>
              </w:rPr>
            </w:pPr>
            <w:r w:rsidRPr="00F658E0">
              <w:rPr>
                <w:rFonts w:ascii="Times New Roman" w:hAnsi="Times New Roman" w:cs="Times New Roman"/>
                <w:b/>
                <w:bCs/>
                <w:color w:val="000000"/>
              </w:rPr>
              <w:t>39,0</w:t>
            </w:r>
          </w:p>
        </w:tc>
      </w:tr>
      <w:tr w:rsidR="00F658E0" w:rsidRPr="006D1426" w:rsidTr="00803078">
        <w:trPr>
          <w:trHeight w:val="240"/>
        </w:trPr>
        <w:tc>
          <w:tcPr>
            <w:tcW w:w="3867" w:type="pct"/>
            <w:shd w:val="clear" w:color="auto" w:fill="auto"/>
            <w:noWrap/>
            <w:hideMark/>
          </w:tcPr>
          <w:p w:rsidR="00F658E0" w:rsidRPr="006D1426" w:rsidRDefault="00F658E0" w:rsidP="00F658E0">
            <w:pPr>
              <w:spacing w:after="0" w:line="240" w:lineRule="auto"/>
              <w:rPr>
                <w:rFonts w:ascii="Times New Roman" w:eastAsia="Times New Roman" w:hAnsi="Times New Roman"/>
                <w:i/>
                <w:iCs/>
                <w:lang w:eastAsia="fr-FR"/>
              </w:rPr>
            </w:pPr>
            <w:r w:rsidRPr="006D1426">
              <w:rPr>
                <w:rFonts w:ascii="Times New Roman" w:eastAsia="Times New Roman" w:hAnsi="Times New Roman"/>
                <w:i/>
                <w:iCs/>
                <w:lang w:eastAsia="fr-FR"/>
              </w:rPr>
              <w:t>Domaines de formation souhaités(%)</w:t>
            </w:r>
          </w:p>
        </w:tc>
        <w:tc>
          <w:tcPr>
            <w:tcW w:w="1133" w:type="pct"/>
            <w:tcBorders>
              <w:top w:val="nil"/>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i/>
                <w:iCs/>
                <w:color w:val="000000"/>
              </w:rPr>
            </w:pPr>
            <w:r w:rsidRPr="00F658E0">
              <w:rPr>
                <w:rFonts w:ascii="Times New Roman" w:hAnsi="Times New Roman" w:cs="Times New Roman"/>
                <w:i/>
                <w:iCs/>
                <w:color w:val="000000"/>
              </w:rPr>
              <w:t> </w:t>
            </w:r>
          </w:p>
        </w:tc>
      </w:tr>
      <w:tr w:rsidR="00F658E0" w:rsidRPr="006D1426" w:rsidTr="00F658E0">
        <w:trPr>
          <w:trHeight w:val="315"/>
        </w:trPr>
        <w:tc>
          <w:tcPr>
            <w:tcW w:w="3867" w:type="pct"/>
            <w:shd w:val="clear" w:color="auto" w:fill="auto"/>
            <w:noWrap/>
            <w:hideMark/>
          </w:tcPr>
          <w:p w:rsidR="00F658E0" w:rsidRPr="006D1426" w:rsidRDefault="00F658E0" w:rsidP="00F658E0">
            <w:pPr>
              <w:spacing w:after="0" w:line="240" w:lineRule="auto"/>
              <w:rPr>
                <w:rFonts w:ascii="Times New Roman" w:eastAsia="Times New Roman" w:hAnsi="Times New Roman"/>
                <w:color w:val="000000"/>
                <w:lang w:eastAsia="fr-FR"/>
              </w:rPr>
            </w:pPr>
            <w:r w:rsidRPr="006D1426">
              <w:rPr>
                <w:rFonts w:ascii="Times New Roman" w:eastAsia="Times New Roman" w:hAnsi="Times New Roman"/>
                <w:color w:val="000000"/>
                <w:lang w:eastAsia="fr-FR"/>
              </w:rPr>
              <w:t xml:space="preserve">Pratiques de la vente </w:t>
            </w:r>
          </w:p>
        </w:tc>
        <w:tc>
          <w:tcPr>
            <w:tcW w:w="1133" w:type="pct"/>
            <w:tcBorders>
              <w:top w:val="nil"/>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color w:val="000000"/>
              </w:rPr>
            </w:pPr>
            <w:r w:rsidRPr="00F658E0">
              <w:rPr>
                <w:rFonts w:ascii="Times New Roman" w:hAnsi="Times New Roman" w:cs="Times New Roman"/>
                <w:color w:val="000000"/>
              </w:rPr>
              <w:t>21,8</w:t>
            </w:r>
          </w:p>
        </w:tc>
      </w:tr>
      <w:tr w:rsidR="00F658E0" w:rsidRPr="006D1426" w:rsidTr="00F658E0">
        <w:trPr>
          <w:trHeight w:val="315"/>
        </w:trPr>
        <w:tc>
          <w:tcPr>
            <w:tcW w:w="3867" w:type="pct"/>
            <w:shd w:val="clear" w:color="auto" w:fill="auto"/>
            <w:noWrap/>
            <w:hideMark/>
          </w:tcPr>
          <w:p w:rsidR="00F658E0" w:rsidRPr="006D1426" w:rsidRDefault="00F658E0" w:rsidP="00F658E0">
            <w:pPr>
              <w:spacing w:after="0" w:line="240" w:lineRule="auto"/>
              <w:rPr>
                <w:rFonts w:ascii="Times New Roman" w:eastAsia="Times New Roman" w:hAnsi="Times New Roman"/>
                <w:color w:val="000000"/>
                <w:lang w:eastAsia="fr-FR"/>
              </w:rPr>
            </w:pPr>
            <w:r w:rsidRPr="006D1426">
              <w:rPr>
                <w:rFonts w:ascii="Times New Roman" w:eastAsia="Times New Roman" w:hAnsi="Times New Roman"/>
                <w:color w:val="000000"/>
                <w:lang w:eastAsia="fr-FR"/>
              </w:rPr>
              <w:t>Techniques de conditionnement</w:t>
            </w:r>
          </w:p>
        </w:tc>
        <w:tc>
          <w:tcPr>
            <w:tcW w:w="1133" w:type="pct"/>
            <w:tcBorders>
              <w:top w:val="nil"/>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color w:val="000000"/>
              </w:rPr>
            </w:pPr>
            <w:r w:rsidRPr="00F658E0">
              <w:rPr>
                <w:rFonts w:ascii="Times New Roman" w:hAnsi="Times New Roman" w:cs="Times New Roman"/>
                <w:color w:val="000000"/>
              </w:rPr>
              <w:t>7,6</w:t>
            </w:r>
          </w:p>
        </w:tc>
      </w:tr>
      <w:tr w:rsidR="00F658E0" w:rsidRPr="006D1426" w:rsidTr="00F658E0">
        <w:trPr>
          <w:trHeight w:val="315"/>
        </w:trPr>
        <w:tc>
          <w:tcPr>
            <w:tcW w:w="3867" w:type="pct"/>
            <w:shd w:val="clear" w:color="auto" w:fill="auto"/>
            <w:noWrap/>
            <w:hideMark/>
          </w:tcPr>
          <w:p w:rsidR="00F658E0" w:rsidRPr="006D1426" w:rsidRDefault="00F658E0" w:rsidP="00F658E0">
            <w:pPr>
              <w:spacing w:after="0" w:line="240" w:lineRule="auto"/>
              <w:rPr>
                <w:rFonts w:ascii="Times New Roman" w:eastAsia="Times New Roman" w:hAnsi="Times New Roman"/>
                <w:color w:val="000000"/>
                <w:lang w:eastAsia="fr-FR"/>
              </w:rPr>
            </w:pPr>
            <w:r w:rsidRPr="006D1426">
              <w:rPr>
                <w:rFonts w:ascii="Times New Roman" w:eastAsia="Times New Roman" w:hAnsi="Times New Roman"/>
                <w:color w:val="000000"/>
                <w:lang w:eastAsia="fr-FR"/>
              </w:rPr>
              <w:t>Comptabilité/Gestion</w:t>
            </w:r>
          </w:p>
        </w:tc>
        <w:tc>
          <w:tcPr>
            <w:tcW w:w="1133" w:type="pct"/>
            <w:tcBorders>
              <w:top w:val="nil"/>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color w:val="000000"/>
              </w:rPr>
            </w:pPr>
            <w:r w:rsidRPr="00F658E0">
              <w:rPr>
                <w:rFonts w:ascii="Times New Roman" w:hAnsi="Times New Roman" w:cs="Times New Roman"/>
                <w:color w:val="000000"/>
              </w:rPr>
              <w:t>21,6</w:t>
            </w:r>
          </w:p>
        </w:tc>
      </w:tr>
      <w:tr w:rsidR="00F658E0" w:rsidRPr="006D1426" w:rsidTr="00F658E0">
        <w:trPr>
          <w:trHeight w:val="315"/>
        </w:trPr>
        <w:tc>
          <w:tcPr>
            <w:tcW w:w="3867" w:type="pct"/>
            <w:shd w:val="clear" w:color="auto" w:fill="auto"/>
            <w:noWrap/>
            <w:hideMark/>
          </w:tcPr>
          <w:p w:rsidR="00F658E0" w:rsidRPr="006D1426" w:rsidRDefault="00F658E0" w:rsidP="00F658E0">
            <w:pPr>
              <w:spacing w:after="0" w:line="240" w:lineRule="auto"/>
              <w:rPr>
                <w:rFonts w:ascii="Times New Roman" w:eastAsia="Times New Roman" w:hAnsi="Times New Roman"/>
                <w:color w:val="000000"/>
                <w:lang w:eastAsia="fr-FR"/>
              </w:rPr>
            </w:pPr>
            <w:r w:rsidRPr="006D1426">
              <w:rPr>
                <w:rFonts w:ascii="Times New Roman" w:eastAsia="Times New Roman" w:hAnsi="Times New Roman"/>
                <w:color w:val="000000"/>
                <w:lang w:eastAsia="fr-FR"/>
              </w:rPr>
              <w:t>Marketing</w:t>
            </w:r>
          </w:p>
        </w:tc>
        <w:tc>
          <w:tcPr>
            <w:tcW w:w="1133" w:type="pct"/>
            <w:tcBorders>
              <w:top w:val="nil"/>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color w:val="000000"/>
              </w:rPr>
            </w:pPr>
            <w:r w:rsidRPr="00F658E0">
              <w:rPr>
                <w:rFonts w:ascii="Times New Roman" w:hAnsi="Times New Roman" w:cs="Times New Roman"/>
                <w:color w:val="000000"/>
              </w:rPr>
              <w:t>18,0</w:t>
            </w:r>
          </w:p>
        </w:tc>
      </w:tr>
      <w:tr w:rsidR="00F658E0" w:rsidRPr="006D1426" w:rsidTr="00F658E0">
        <w:trPr>
          <w:trHeight w:val="315"/>
        </w:trPr>
        <w:tc>
          <w:tcPr>
            <w:tcW w:w="3867" w:type="pct"/>
            <w:shd w:val="clear" w:color="auto" w:fill="auto"/>
            <w:noWrap/>
            <w:hideMark/>
          </w:tcPr>
          <w:p w:rsidR="00F658E0" w:rsidRPr="006D1426" w:rsidRDefault="00F658E0" w:rsidP="00F658E0">
            <w:pPr>
              <w:spacing w:after="0" w:line="240" w:lineRule="auto"/>
              <w:rPr>
                <w:rFonts w:ascii="Times New Roman" w:eastAsia="Times New Roman" w:hAnsi="Times New Roman"/>
                <w:color w:val="000000"/>
                <w:lang w:eastAsia="fr-FR"/>
              </w:rPr>
            </w:pPr>
            <w:r w:rsidRPr="006D1426">
              <w:rPr>
                <w:rFonts w:ascii="Times New Roman" w:eastAsia="Times New Roman" w:hAnsi="Times New Roman"/>
                <w:color w:val="000000"/>
                <w:lang w:eastAsia="fr-FR"/>
              </w:rPr>
              <w:t>Finance</w:t>
            </w:r>
          </w:p>
        </w:tc>
        <w:tc>
          <w:tcPr>
            <w:tcW w:w="1133" w:type="pct"/>
            <w:tcBorders>
              <w:top w:val="nil"/>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color w:val="000000"/>
              </w:rPr>
            </w:pPr>
            <w:r w:rsidRPr="00F658E0">
              <w:rPr>
                <w:rFonts w:ascii="Times New Roman" w:hAnsi="Times New Roman" w:cs="Times New Roman"/>
                <w:color w:val="000000"/>
              </w:rPr>
              <w:t>15,0</w:t>
            </w:r>
          </w:p>
        </w:tc>
      </w:tr>
      <w:tr w:rsidR="00F658E0" w:rsidRPr="006D1426" w:rsidTr="00F658E0">
        <w:trPr>
          <w:trHeight w:val="315"/>
        </w:trPr>
        <w:tc>
          <w:tcPr>
            <w:tcW w:w="3867" w:type="pct"/>
            <w:shd w:val="clear" w:color="auto" w:fill="auto"/>
            <w:noWrap/>
            <w:hideMark/>
          </w:tcPr>
          <w:p w:rsidR="00F658E0" w:rsidRPr="006D1426" w:rsidRDefault="00F658E0" w:rsidP="00F658E0">
            <w:pPr>
              <w:spacing w:after="0" w:line="240" w:lineRule="auto"/>
              <w:rPr>
                <w:rFonts w:ascii="Times New Roman" w:eastAsia="Times New Roman" w:hAnsi="Times New Roman"/>
                <w:color w:val="000000"/>
                <w:lang w:eastAsia="fr-FR"/>
              </w:rPr>
            </w:pPr>
            <w:r w:rsidRPr="006D1426">
              <w:rPr>
                <w:rFonts w:ascii="Times New Roman" w:eastAsia="Times New Roman" w:hAnsi="Times New Roman"/>
                <w:color w:val="000000"/>
                <w:lang w:eastAsia="fr-FR"/>
              </w:rPr>
              <w:t>Stratégie</w:t>
            </w:r>
          </w:p>
        </w:tc>
        <w:tc>
          <w:tcPr>
            <w:tcW w:w="1133" w:type="pct"/>
            <w:tcBorders>
              <w:top w:val="nil"/>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color w:val="000000"/>
              </w:rPr>
            </w:pPr>
            <w:r w:rsidRPr="00F658E0">
              <w:rPr>
                <w:rFonts w:ascii="Times New Roman" w:hAnsi="Times New Roman" w:cs="Times New Roman"/>
                <w:color w:val="000000"/>
              </w:rPr>
              <w:t>10,4</w:t>
            </w:r>
          </w:p>
        </w:tc>
      </w:tr>
      <w:tr w:rsidR="00F658E0" w:rsidRPr="006D1426" w:rsidTr="00F658E0">
        <w:trPr>
          <w:trHeight w:val="315"/>
        </w:trPr>
        <w:tc>
          <w:tcPr>
            <w:tcW w:w="3867" w:type="pct"/>
            <w:shd w:val="clear" w:color="auto" w:fill="auto"/>
            <w:noWrap/>
            <w:hideMark/>
          </w:tcPr>
          <w:p w:rsidR="00F658E0" w:rsidRPr="006D1426" w:rsidRDefault="00F658E0" w:rsidP="00F658E0">
            <w:pPr>
              <w:spacing w:after="0" w:line="240" w:lineRule="auto"/>
              <w:rPr>
                <w:rFonts w:ascii="Times New Roman" w:eastAsia="Times New Roman" w:hAnsi="Times New Roman"/>
                <w:color w:val="000000"/>
                <w:lang w:eastAsia="fr-FR"/>
              </w:rPr>
            </w:pPr>
            <w:r w:rsidRPr="006D1426">
              <w:rPr>
                <w:rFonts w:ascii="Times New Roman" w:eastAsia="Times New Roman" w:hAnsi="Times New Roman"/>
                <w:color w:val="000000"/>
                <w:lang w:eastAsia="fr-FR"/>
              </w:rPr>
              <w:t>Gestion des ressources humaines</w:t>
            </w:r>
          </w:p>
        </w:tc>
        <w:tc>
          <w:tcPr>
            <w:tcW w:w="1133" w:type="pct"/>
            <w:tcBorders>
              <w:top w:val="nil"/>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color w:val="000000"/>
              </w:rPr>
            </w:pPr>
            <w:r w:rsidRPr="00F658E0">
              <w:rPr>
                <w:rFonts w:ascii="Times New Roman" w:hAnsi="Times New Roman" w:cs="Times New Roman"/>
                <w:color w:val="000000"/>
              </w:rPr>
              <w:t>0,9</w:t>
            </w:r>
          </w:p>
        </w:tc>
      </w:tr>
      <w:tr w:rsidR="00F658E0" w:rsidRPr="006D1426" w:rsidTr="00F658E0">
        <w:trPr>
          <w:trHeight w:val="315"/>
        </w:trPr>
        <w:tc>
          <w:tcPr>
            <w:tcW w:w="3867" w:type="pct"/>
            <w:shd w:val="clear" w:color="auto" w:fill="auto"/>
            <w:noWrap/>
            <w:hideMark/>
          </w:tcPr>
          <w:p w:rsidR="00F658E0" w:rsidRPr="006D1426" w:rsidRDefault="00F658E0" w:rsidP="00F658E0">
            <w:pPr>
              <w:spacing w:after="0" w:line="240" w:lineRule="auto"/>
              <w:rPr>
                <w:rFonts w:ascii="Times New Roman" w:eastAsia="Times New Roman" w:hAnsi="Times New Roman"/>
                <w:color w:val="000000"/>
                <w:lang w:eastAsia="fr-FR"/>
              </w:rPr>
            </w:pPr>
            <w:r w:rsidRPr="006D1426">
              <w:rPr>
                <w:rFonts w:ascii="Times New Roman" w:eastAsia="Times New Roman" w:hAnsi="Times New Roman"/>
                <w:color w:val="000000"/>
                <w:lang w:eastAsia="fr-FR"/>
              </w:rPr>
              <w:t>Gestion de la production</w:t>
            </w:r>
          </w:p>
        </w:tc>
        <w:tc>
          <w:tcPr>
            <w:tcW w:w="1133" w:type="pct"/>
            <w:tcBorders>
              <w:top w:val="nil"/>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color w:val="000000"/>
              </w:rPr>
            </w:pPr>
            <w:r w:rsidRPr="00F658E0">
              <w:rPr>
                <w:rFonts w:ascii="Times New Roman" w:hAnsi="Times New Roman" w:cs="Times New Roman"/>
                <w:color w:val="000000"/>
              </w:rPr>
              <w:t>3,2</w:t>
            </w:r>
          </w:p>
        </w:tc>
      </w:tr>
      <w:tr w:rsidR="00F658E0" w:rsidRPr="006D1426" w:rsidTr="00F658E0">
        <w:trPr>
          <w:trHeight w:val="315"/>
        </w:trPr>
        <w:tc>
          <w:tcPr>
            <w:tcW w:w="3867" w:type="pct"/>
            <w:shd w:val="clear" w:color="auto" w:fill="auto"/>
            <w:noWrap/>
            <w:hideMark/>
          </w:tcPr>
          <w:p w:rsidR="00F658E0" w:rsidRPr="006D1426" w:rsidRDefault="00F658E0" w:rsidP="00F658E0">
            <w:pPr>
              <w:spacing w:after="0" w:line="240" w:lineRule="auto"/>
              <w:rPr>
                <w:rFonts w:ascii="Times New Roman" w:eastAsia="Times New Roman" w:hAnsi="Times New Roman"/>
                <w:color w:val="000000"/>
                <w:lang w:eastAsia="fr-FR"/>
              </w:rPr>
            </w:pPr>
            <w:r w:rsidRPr="006D1426">
              <w:rPr>
                <w:rFonts w:ascii="Times New Roman" w:eastAsia="Times New Roman" w:hAnsi="Times New Roman"/>
                <w:color w:val="000000"/>
                <w:lang w:eastAsia="fr-FR"/>
              </w:rPr>
              <w:t>Autres</w:t>
            </w:r>
          </w:p>
        </w:tc>
        <w:tc>
          <w:tcPr>
            <w:tcW w:w="1133" w:type="pct"/>
            <w:tcBorders>
              <w:top w:val="nil"/>
              <w:left w:val="single" w:sz="8" w:space="0" w:color="auto"/>
              <w:bottom w:val="single" w:sz="8" w:space="0" w:color="auto"/>
              <w:right w:val="single" w:sz="8" w:space="0" w:color="auto"/>
            </w:tcBorders>
            <w:shd w:val="clear" w:color="auto" w:fill="auto"/>
            <w:noWrap/>
            <w:vAlign w:val="center"/>
            <w:hideMark/>
          </w:tcPr>
          <w:p w:rsidR="00F658E0" w:rsidRPr="00F658E0" w:rsidRDefault="00F658E0" w:rsidP="00F658E0">
            <w:pPr>
              <w:rPr>
                <w:rFonts w:ascii="Times New Roman" w:hAnsi="Times New Roman" w:cs="Times New Roman"/>
                <w:color w:val="000000"/>
              </w:rPr>
            </w:pPr>
            <w:r w:rsidRPr="00F658E0">
              <w:rPr>
                <w:rFonts w:ascii="Times New Roman" w:hAnsi="Times New Roman" w:cs="Times New Roman"/>
                <w:color w:val="000000"/>
              </w:rPr>
              <w:t>1,5</w:t>
            </w:r>
          </w:p>
        </w:tc>
      </w:tr>
    </w:tbl>
    <w:p w:rsidR="006D1426" w:rsidRPr="006D1426" w:rsidRDefault="006D1426" w:rsidP="006D1426">
      <w:pPr>
        <w:spacing w:after="0"/>
        <w:rPr>
          <w:rFonts w:ascii="Times New Roman" w:hAnsi="Times New Roman"/>
          <w:sz w:val="24"/>
        </w:rPr>
      </w:pPr>
      <w:r w:rsidRPr="006D1426">
        <w:rPr>
          <w:rFonts w:ascii="Times New Roman" w:hAnsi="Times New Roman"/>
        </w:rPr>
        <w:t>Source : Données PAPA, 2018</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Les détaillants ont accès à des infrastructures routières assez correctes. En effet, pour 51% d’entre eux, la route praticable la plus proche est une route bitumée urbaine et pour 22% d’entre eux c’es</w:t>
      </w:r>
      <w:r w:rsidR="00184205">
        <w:rPr>
          <w:rFonts w:ascii="Times New Roman" w:hAnsi="Times New Roman"/>
          <w:sz w:val="24"/>
        </w:rPr>
        <w:t>t u</w:t>
      </w:r>
      <w:r w:rsidR="00825BCD">
        <w:rPr>
          <w:rFonts w:ascii="Times New Roman" w:hAnsi="Times New Roman"/>
          <w:sz w:val="24"/>
        </w:rPr>
        <w:t>ne route nationale (tableau 14</w:t>
      </w:r>
      <w:r w:rsidRPr="006D1426">
        <w:rPr>
          <w:rFonts w:ascii="Times New Roman" w:hAnsi="Times New Roman"/>
          <w:sz w:val="24"/>
        </w:rPr>
        <w:t>). Ces résultats s’expliquent par le caractère urbain des enquêtes. Le fait d’être proches des routes praticables facilite les approvisionnements en intrants grâce à la réduction des coûts de transaction. Il permet aussi d’assurer la livraison des produits sans risque de les détériorer en cours de route. La proportion des entreprises qui trouvent que l’état des routes est bon n’a pas changé entre le démarrage et 2018. Les détaillants se situent en moyenne à 2 km d’un marché de vente en gros de céréales ; c’est-à-dire non loin d’un potentiel lieu d’approvisionnement en marchandises. Cette distance a cependant augmenté entre le démarrage et 2018 ; cela peut s’expliquer entre autres par l’urbanisation galopante dans certaines grandes villes du pays.</w:t>
      </w:r>
    </w:p>
    <w:p w:rsidR="006D1426" w:rsidRPr="00184205" w:rsidRDefault="00825BCD" w:rsidP="00825BCD">
      <w:pPr>
        <w:pStyle w:val="Lgende"/>
        <w:rPr>
          <w:iCs w:val="0"/>
          <w:szCs w:val="24"/>
        </w:rPr>
      </w:pPr>
      <w:bookmarkStart w:id="80" w:name="_Toc1484501"/>
      <w:bookmarkStart w:id="81" w:name="_Toc3549402"/>
      <w:bookmarkStart w:id="82" w:name="_Toc34303311"/>
      <w:r w:rsidRPr="00825BCD">
        <w:rPr>
          <w:b/>
        </w:rPr>
        <w:t xml:space="preserve">Tableau </w:t>
      </w:r>
      <w:r w:rsidRPr="00825BCD">
        <w:rPr>
          <w:b/>
        </w:rPr>
        <w:fldChar w:fldCharType="begin"/>
      </w:r>
      <w:r w:rsidRPr="00825BCD">
        <w:rPr>
          <w:b/>
        </w:rPr>
        <w:instrText xml:space="preserve"> SEQ Tableau \* ARABIC </w:instrText>
      </w:r>
      <w:r w:rsidRPr="00825BCD">
        <w:rPr>
          <w:b/>
        </w:rPr>
        <w:fldChar w:fldCharType="separate"/>
      </w:r>
      <w:r w:rsidR="00900EA8">
        <w:rPr>
          <w:b/>
          <w:noProof/>
        </w:rPr>
        <w:t>14</w:t>
      </w:r>
      <w:r w:rsidRPr="00825BCD">
        <w:rPr>
          <w:b/>
        </w:rPr>
        <w:fldChar w:fldCharType="end"/>
      </w:r>
      <w:r w:rsidR="006D1426" w:rsidRPr="00184205">
        <w:rPr>
          <w:b/>
          <w:iCs w:val="0"/>
          <w:szCs w:val="24"/>
        </w:rPr>
        <w:t>:</w:t>
      </w:r>
      <w:r w:rsidR="006D1426" w:rsidRPr="00184205">
        <w:rPr>
          <w:iCs w:val="0"/>
          <w:szCs w:val="24"/>
        </w:rPr>
        <w:t xml:space="preserve"> Accès des détaillants aux infrastructures routières</w:t>
      </w:r>
      <w:bookmarkEnd w:id="80"/>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5"/>
        <w:gridCol w:w="1282"/>
        <w:gridCol w:w="867"/>
        <w:gridCol w:w="868"/>
      </w:tblGrid>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Variables</w:t>
            </w:r>
          </w:p>
        </w:tc>
        <w:tc>
          <w:tcPr>
            <w:tcW w:w="1655" w:type="pct"/>
            <w:gridSpan w:val="3"/>
            <w:shd w:val="clear" w:color="auto" w:fill="auto"/>
            <w:hideMark/>
          </w:tcPr>
          <w:p w:rsidR="006D1426" w:rsidRPr="006D1426" w:rsidRDefault="006D1426" w:rsidP="006D1426">
            <w:pPr>
              <w:spacing w:after="0" w:line="240" w:lineRule="auto"/>
              <w:jc w:val="center"/>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Détaillants (n=582)</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Type de route praticable la plus proche de l'activité (%)</w:t>
            </w:r>
          </w:p>
        </w:tc>
        <w:tc>
          <w:tcPr>
            <w:tcW w:w="679"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xml:space="preserve">Démarrage </w:t>
            </w:r>
          </w:p>
        </w:tc>
        <w:tc>
          <w:tcPr>
            <w:tcW w:w="488"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2015</w:t>
            </w:r>
          </w:p>
        </w:tc>
        <w:tc>
          <w:tcPr>
            <w:tcW w:w="488"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2018</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Route nationale</w:t>
            </w:r>
          </w:p>
        </w:tc>
        <w:tc>
          <w:tcPr>
            <w:tcW w:w="679"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21,8</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18,4</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22,0</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lastRenderedPageBreak/>
              <w:t>Route départementale</w:t>
            </w:r>
          </w:p>
        </w:tc>
        <w:tc>
          <w:tcPr>
            <w:tcW w:w="679"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19,4</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15,8</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19,6</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Route bitumée urbaine (rue)</w:t>
            </w:r>
          </w:p>
        </w:tc>
        <w:tc>
          <w:tcPr>
            <w:tcW w:w="679"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51,5</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41,2</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51,9</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Route non bitumée praticable (rue)</w:t>
            </w:r>
          </w:p>
        </w:tc>
        <w:tc>
          <w:tcPr>
            <w:tcW w:w="679"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8,2</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5,3</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7,7</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Route rurale bitumée (non praticable)</w:t>
            </w:r>
          </w:p>
        </w:tc>
        <w:tc>
          <w:tcPr>
            <w:tcW w:w="679"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0,5</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0,5</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0,5</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Piste de production (recouverte de gravillon)</w:t>
            </w:r>
          </w:p>
        </w:tc>
        <w:tc>
          <w:tcPr>
            <w:tcW w:w="679"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p>
        </w:tc>
        <w:tc>
          <w:tcPr>
            <w:tcW w:w="488"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p>
        </w:tc>
        <w:tc>
          <w:tcPr>
            <w:tcW w:w="488"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Piste rurale praticable (sans gravillon)</w:t>
            </w:r>
          </w:p>
        </w:tc>
        <w:tc>
          <w:tcPr>
            <w:tcW w:w="679"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p>
        </w:tc>
        <w:tc>
          <w:tcPr>
            <w:tcW w:w="488"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p>
        </w:tc>
        <w:tc>
          <w:tcPr>
            <w:tcW w:w="488"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L'état de la route praticable  la plus proche au démarrage (%)</w:t>
            </w:r>
          </w:p>
        </w:tc>
        <w:tc>
          <w:tcPr>
            <w:tcW w:w="679"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p>
        </w:tc>
        <w:tc>
          <w:tcPr>
            <w:tcW w:w="488"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p>
        </w:tc>
        <w:tc>
          <w:tcPr>
            <w:tcW w:w="488" w:type="pct"/>
            <w:shd w:val="clear" w:color="auto" w:fill="auto"/>
            <w:noWrap/>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Bon</w:t>
            </w:r>
          </w:p>
        </w:tc>
        <w:tc>
          <w:tcPr>
            <w:tcW w:w="679"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69,2</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71,04</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70,44</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Passable</w:t>
            </w:r>
          </w:p>
        </w:tc>
        <w:tc>
          <w:tcPr>
            <w:tcW w:w="679"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25,55</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24,52</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24,49</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Dégradé</w:t>
            </w:r>
          </w:p>
        </w:tc>
        <w:tc>
          <w:tcPr>
            <w:tcW w:w="679"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5,25</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4,44</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5,07</w:t>
            </w:r>
          </w:p>
        </w:tc>
      </w:tr>
      <w:tr w:rsidR="006D1426" w:rsidRPr="006D1426" w:rsidTr="006D1426">
        <w:trPr>
          <w:trHeight w:val="315"/>
        </w:trPr>
        <w:tc>
          <w:tcPr>
            <w:tcW w:w="3345" w:type="pct"/>
            <w:shd w:val="clear" w:color="auto" w:fill="auto"/>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 xml:space="preserve">Distance moyenne au marché de vente en gros de céréales du lieu d’établissement de l’entreprise (km) </w:t>
            </w:r>
          </w:p>
        </w:tc>
        <w:tc>
          <w:tcPr>
            <w:tcW w:w="679"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1,82</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2,21</w:t>
            </w:r>
          </w:p>
        </w:tc>
        <w:tc>
          <w:tcPr>
            <w:tcW w:w="488" w:type="pct"/>
            <w:shd w:val="clear" w:color="auto" w:fill="auto"/>
            <w:noWrap/>
            <w:hideMark/>
          </w:tcPr>
          <w:p w:rsidR="006D1426" w:rsidRPr="006D1426" w:rsidRDefault="006D1426" w:rsidP="006D1426">
            <w:pPr>
              <w:spacing w:after="0" w:line="240" w:lineRule="auto"/>
              <w:jc w:val="right"/>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2,35</w:t>
            </w:r>
          </w:p>
        </w:tc>
      </w:tr>
    </w:tbl>
    <w:p w:rsidR="006D1426" w:rsidRPr="006D1426" w:rsidRDefault="006D1426" w:rsidP="006D1426">
      <w:pPr>
        <w:spacing w:after="0"/>
        <w:rPr>
          <w:rFonts w:ascii="Times New Roman" w:hAnsi="Times New Roman"/>
        </w:rPr>
      </w:pPr>
      <w:r w:rsidRPr="006D1426">
        <w:rPr>
          <w:rFonts w:ascii="Times New Roman" w:hAnsi="Times New Roman"/>
        </w:rPr>
        <w:t>Source : Données PAPA, 2018</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La majorité des entreprises de vente au détail des céréales n’emploient pas de la main-d’œuvre. Ils étaient 15% à le faire au démarrage contre 32% en 2018 (tableau </w:t>
      </w:r>
      <w:r w:rsidR="00184205" w:rsidRPr="00184205">
        <w:rPr>
          <w:rFonts w:ascii="Times New Roman" w:hAnsi="Times New Roman"/>
          <w:sz w:val="24"/>
        </w:rPr>
        <w:t>15</w:t>
      </w:r>
      <w:r w:rsidRPr="006D1426">
        <w:rPr>
          <w:rFonts w:ascii="Times New Roman" w:hAnsi="Times New Roman"/>
          <w:sz w:val="24"/>
        </w:rPr>
        <w:t xml:space="preserve">). Même si cette proportion a augmenté dans le temps, elle demeure encore faible et prouve que les détaillants ont de petites entreprises. </w:t>
      </w:r>
      <w:r w:rsidR="00825BCD">
        <w:rPr>
          <w:rFonts w:ascii="Times New Roman" w:hAnsi="Times New Roman"/>
          <w:sz w:val="24"/>
        </w:rPr>
        <w:t>L’</w:t>
      </w:r>
      <w:r w:rsidRPr="006D1426">
        <w:rPr>
          <w:rFonts w:ascii="Times New Roman" w:hAnsi="Times New Roman"/>
          <w:sz w:val="24"/>
        </w:rPr>
        <w:t>emploi de main-d’œuvre permanente est plus fréquent (80% des entreprises en 2018). En moyenne, le nombre d’employés par entreprise était presque nul au démarrage et il est 0,5 en 2018. Les emplois sont principalement masculins. Ainsi, le secteur du commerce détail n’est pas encore générateur d’emplois.</w:t>
      </w:r>
    </w:p>
    <w:p w:rsidR="006D1426" w:rsidRPr="006D1426" w:rsidRDefault="00825BCD" w:rsidP="00825BCD">
      <w:pPr>
        <w:pStyle w:val="Lgende"/>
        <w:rPr>
          <w:iCs w:val="0"/>
          <w:szCs w:val="24"/>
        </w:rPr>
      </w:pPr>
      <w:bookmarkStart w:id="83" w:name="_Toc1484503"/>
      <w:bookmarkStart w:id="84" w:name="_Toc3549407"/>
      <w:bookmarkStart w:id="85" w:name="_Toc34303312"/>
      <w:r w:rsidRPr="00825BCD">
        <w:rPr>
          <w:b/>
        </w:rPr>
        <w:t xml:space="preserve">Tableau </w:t>
      </w:r>
      <w:r w:rsidRPr="00825BCD">
        <w:rPr>
          <w:b/>
        </w:rPr>
        <w:fldChar w:fldCharType="begin"/>
      </w:r>
      <w:r w:rsidRPr="00825BCD">
        <w:rPr>
          <w:b/>
        </w:rPr>
        <w:instrText xml:space="preserve"> SEQ Tableau \* ARABIC </w:instrText>
      </w:r>
      <w:r w:rsidRPr="00825BCD">
        <w:rPr>
          <w:b/>
        </w:rPr>
        <w:fldChar w:fldCharType="separate"/>
      </w:r>
      <w:r w:rsidR="00900EA8">
        <w:rPr>
          <w:b/>
          <w:noProof/>
        </w:rPr>
        <w:t>15</w:t>
      </w:r>
      <w:r w:rsidRPr="00825BCD">
        <w:rPr>
          <w:b/>
        </w:rPr>
        <w:fldChar w:fldCharType="end"/>
      </w:r>
      <w:r w:rsidR="006D1426" w:rsidRPr="006D1426">
        <w:rPr>
          <w:iCs w:val="0"/>
          <w:szCs w:val="24"/>
        </w:rPr>
        <w:t>: Emploi de main-d’œuvre par les détaillants</w:t>
      </w:r>
      <w:bookmarkEnd w:id="83"/>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2505"/>
        <w:gridCol w:w="2421"/>
      </w:tblGrid>
      <w:tr w:rsidR="006D1426" w:rsidRPr="006D1426" w:rsidTr="006D1426">
        <w:trPr>
          <w:trHeight w:val="624"/>
        </w:trPr>
        <w:tc>
          <w:tcPr>
            <w:tcW w:w="2282" w:type="pct"/>
            <w:vMerge w:val="restart"/>
            <w:shd w:val="clear" w:color="auto" w:fill="D9D9D9"/>
            <w:vAlign w:val="center"/>
            <w:hideMark/>
          </w:tcPr>
          <w:p w:rsidR="006D1426" w:rsidRPr="006D1426" w:rsidRDefault="006D1426" w:rsidP="006D1426">
            <w:pPr>
              <w:spacing w:after="0" w:line="240" w:lineRule="auto"/>
              <w:jc w:val="center"/>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 </w:t>
            </w:r>
          </w:p>
        </w:tc>
        <w:tc>
          <w:tcPr>
            <w:tcW w:w="1382" w:type="pct"/>
            <w:shd w:val="clear" w:color="auto" w:fill="D9D9D9"/>
            <w:hideMark/>
          </w:tcPr>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 xml:space="preserve">Année de démarrage </w:t>
            </w:r>
          </w:p>
        </w:tc>
        <w:tc>
          <w:tcPr>
            <w:tcW w:w="1336" w:type="pct"/>
            <w:shd w:val="clear" w:color="auto" w:fill="D9D9D9"/>
            <w:hideMark/>
          </w:tcPr>
          <w:p w:rsidR="006D1426" w:rsidRPr="006D1426" w:rsidRDefault="006D1426" w:rsidP="00184205">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2018</w:t>
            </w:r>
          </w:p>
        </w:tc>
      </w:tr>
      <w:tr w:rsidR="006D1426" w:rsidRPr="006D1426" w:rsidTr="006D1426">
        <w:trPr>
          <w:trHeight w:val="312"/>
        </w:trPr>
        <w:tc>
          <w:tcPr>
            <w:tcW w:w="2282" w:type="pct"/>
            <w:vMerge/>
            <w:shd w:val="clear" w:color="auto" w:fill="D9D9D9"/>
            <w:noWrap/>
            <w:hideMark/>
          </w:tcPr>
          <w:p w:rsidR="006D1426" w:rsidRPr="006D1426" w:rsidRDefault="006D1426" w:rsidP="006D1426">
            <w:pPr>
              <w:spacing w:after="0" w:line="240" w:lineRule="auto"/>
              <w:jc w:val="center"/>
              <w:rPr>
                <w:rFonts w:ascii="Times New Roman" w:eastAsia="Times New Roman" w:hAnsi="Times New Roman"/>
                <w:b/>
                <w:bCs/>
                <w:color w:val="000000"/>
                <w:sz w:val="24"/>
                <w:szCs w:val="24"/>
                <w:lang w:eastAsia="fr-FR"/>
              </w:rPr>
            </w:pPr>
          </w:p>
        </w:tc>
        <w:tc>
          <w:tcPr>
            <w:tcW w:w="1382" w:type="pct"/>
            <w:shd w:val="clear" w:color="auto" w:fill="D9D9D9"/>
            <w:hideMark/>
          </w:tcPr>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n=582</w:t>
            </w:r>
          </w:p>
        </w:tc>
        <w:tc>
          <w:tcPr>
            <w:tcW w:w="1336" w:type="pct"/>
            <w:shd w:val="clear" w:color="auto" w:fill="D9D9D9"/>
            <w:hideMark/>
          </w:tcPr>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n=582</w:t>
            </w:r>
          </w:p>
        </w:tc>
      </w:tr>
      <w:tr w:rsidR="006D1426" w:rsidRPr="006D1426" w:rsidTr="006D1426">
        <w:trPr>
          <w:trHeight w:val="624"/>
        </w:trPr>
        <w:tc>
          <w:tcPr>
            <w:tcW w:w="2282" w:type="pct"/>
            <w:shd w:val="clear" w:color="auto" w:fill="auto"/>
            <w:hideMark/>
          </w:tcPr>
          <w:p w:rsidR="006D1426" w:rsidRPr="006D1426" w:rsidRDefault="006D1426" w:rsidP="006D1426">
            <w:pPr>
              <w:spacing w:after="0" w:line="240" w:lineRule="auto"/>
              <w:rPr>
                <w:rFonts w:ascii="Times New Roman" w:eastAsia="Times New Roman" w:hAnsi="Times New Roman"/>
                <w:bCs/>
                <w:color w:val="000000"/>
                <w:sz w:val="24"/>
                <w:szCs w:val="24"/>
                <w:lang w:eastAsia="fr-FR"/>
              </w:rPr>
            </w:pPr>
            <w:r w:rsidRPr="006D1426">
              <w:rPr>
                <w:rFonts w:ascii="Times New Roman" w:eastAsia="Times New Roman" w:hAnsi="Times New Roman"/>
                <w:bCs/>
                <w:color w:val="000000"/>
                <w:sz w:val="24"/>
                <w:szCs w:val="24"/>
                <w:lang w:eastAsia="fr-FR"/>
              </w:rPr>
              <w:t>Part des acteurs employant de la main d'œuvre (%)</w:t>
            </w:r>
          </w:p>
        </w:tc>
        <w:tc>
          <w:tcPr>
            <w:tcW w:w="1382"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14,9</w:t>
            </w:r>
          </w:p>
        </w:tc>
        <w:tc>
          <w:tcPr>
            <w:tcW w:w="1336"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31,6</w:t>
            </w:r>
          </w:p>
        </w:tc>
      </w:tr>
      <w:tr w:rsidR="006D1426" w:rsidRPr="006D1426" w:rsidTr="006D1426">
        <w:trPr>
          <w:trHeight w:val="936"/>
        </w:trPr>
        <w:tc>
          <w:tcPr>
            <w:tcW w:w="2282" w:type="pct"/>
            <w:shd w:val="clear" w:color="auto" w:fill="auto"/>
            <w:hideMark/>
          </w:tcPr>
          <w:p w:rsidR="006D1426" w:rsidRPr="006D1426" w:rsidRDefault="006D1426" w:rsidP="006D1426">
            <w:pPr>
              <w:spacing w:after="0" w:line="240" w:lineRule="auto"/>
              <w:rPr>
                <w:rFonts w:ascii="Times New Roman" w:eastAsia="Times New Roman" w:hAnsi="Times New Roman"/>
                <w:bCs/>
                <w:color w:val="000000"/>
                <w:sz w:val="24"/>
                <w:szCs w:val="24"/>
                <w:lang w:eastAsia="fr-FR"/>
              </w:rPr>
            </w:pPr>
            <w:r w:rsidRPr="006D1426">
              <w:rPr>
                <w:rFonts w:ascii="Times New Roman" w:eastAsia="Times New Roman" w:hAnsi="Times New Roman"/>
                <w:bCs/>
                <w:color w:val="000000"/>
                <w:sz w:val="24"/>
                <w:szCs w:val="24"/>
                <w:lang w:eastAsia="fr-FR"/>
              </w:rPr>
              <w:t>Part des acteurs employant de la main d'œuvre permanente, parmi ceux qui ont des employés (%)</w:t>
            </w:r>
          </w:p>
        </w:tc>
        <w:tc>
          <w:tcPr>
            <w:tcW w:w="1382"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74,7</w:t>
            </w:r>
          </w:p>
        </w:tc>
        <w:tc>
          <w:tcPr>
            <w:tcW w:w="1336"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79,9</w:t>
            </w:r>
          </w:p>
        </w:tc>
      </w:tr>
      <w:tr w:rsidR="006D1426" w:rsidRPr="006D1426" w:rsidTr="006D1426">
        <w:trPr>
          <w:trHeight w:val="936"/>
        </w:trPr>
        <w:tc>
          <w:tcPr>
            <w:tcW w:w="2282" w:type="pct"/>
            <w:shd w:val="clear" w:color="auto" w:fill="auto"/>
            <w:hideMark/>
          </w:tcPr>
          <w:p w:rsidR="006D1426" w:rsidRPr="006D1426" w:rsidRDefault="006D1426" w:rsidP="006D1426">
            <w:pPr>
              <w:spacing w:after="0" w:line="240" w:lineRule="auto"/>
              <w:rPr>
                <w:rFonts w:ascii="Times New Roman" w:eastAsia="Times New Roman" w:hAnsi="Times New Roman"/>
                <w:bCs/>
                <w:color w:val="000000"/>
                <w:sz w:val="24"/>
                <w:szCs w:val="24"/>
                <w:lang w:eastAsia="fr-FR"/>
              </w:rPr>
            </w:pPr>
            <w:r w:rsidRPr="006D1426">
              <w:rPr>
                <w:rFonts w:ascii="Times New Roman" w:eastAsia="Times New Roman" w:hAnsi="Times New Roman"/>
                <w:bCs/>
                <w:color w:val="000000"/>
                <w:sz w:val="24"/>
                <w:szCs w:val="24"/>
                <w:lang w:eastAsia="fr-FR"/>
              </w:rPr>
              <w:t>Part des acteurs employant de la main d'œuvre temporaire, parmi ceux qui ont des employés (%)</w:t>
            </w:r>
          </w:p>
        </w:tc>
        <w:tc>
          <w:tcPr>
            <w:tcW w:w="1382"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28,7</w:t>
            </w:r>
          </w:p>
        </w:tc>
        <w:tc>
          <w:tcPr>
            <w:tcW w:w="1336"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26,1</w:t>
            </w:r>
          </w:p>
        </w:tc>
      </w:tr>
      <w:tr w:rsidR="006D1426" w:rsidRPr="006D1426" w:rsidTr="006D1426">
        <w:trPr>
          <w:trHeight w:val="936"/>
        </w:trPr>
        <w:tc>
          <w:tcPr>
            <w:tcW w:w="2282" w:type="pct"/>
            <w:shd w:val="clear" w:color="auto" w:fill="auto"/>
            <w:hideMark/>
          </w:tcPr>
          <w:p w:rsidR="006D1426" w:rsidRPr="006D1426" w:rsidRDefault="006D1426" w:rsidP="006D1426">
            <w:pPr>
              <w:spacing w:after="0" w:line="240" w:lineRule="auto"/>
              <w:rPr>
                <w:rFonts w:ascii="Times New Roman" w:eastAsia="Times New Roman" w:hAnsi="Times New Roman"/>
                <w:b/>
                <w:bCs/>
                <w:color w:val="000000"/>
                <w:sz w:val="24"/>
                <w:szCs w:val="24"/>
                <w:lang w:eastAsia="fr-FR"/>
              </w:rPr>
            </w:pPr>
            <w:r w:rsidRPr="006D1426">
              <w:rPr>
                <w:rFonts w:ascii="Times New Roman" w:eastAsia="Times New Roman" w:hAnsi="Times New Roman"/>
                <w:b/>
                <w:bCs/>
                <w:color w:val="000000"/>
                <w:sz w:val="24"/>
                <w:szCs w:val="24"/>
                <w:lang w:eastAsia="fr-FR"/>
              </w:rPr>
              <w:t>Nombre moyen d'employés (nombre total d'employés sur le nombre total d'entreprises)</w:t>
            </w:r>
          </w:p>
        </w:tc>
        <w:tc>
          <w:tcPr>
            <w:tcW w:w="1382"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b/>
                <w:color w:val="000000"/>
                <w:sz w:val="24"/>
                <w:szCs w:val="24"/>
                <w:lang w:eastAsia="fr-FR"/>
              </w:rPr>
            </w:pPr>
            <w:r w:rsidRPr="006D1426">
              <w:rPr>
                <w:rFonts w:ascii="Times New Roman" w:eastAsia="Times New Roman" w:hAnsi="Times New Roman"/>
                <w:b/>
                <w:color w:val="000000"/>
                <w:sz w:val="24"/>
                <w:szCs w:val="24"/>
                <w:lang w:eastAsia="fr-FR"/>
              </w:rPr>
              <w:t>0,2</w:t>
            </w:r>
          </w:p>
        </w:tc>
        <w:tc>
          <w:tcPr>
            <w:tcW w:w="1336"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b/>
                <w:color w:val="000000"/>
                <w:sz w:val="24"/>
                <w:szCs w:val="24"/>
                <w:lang w:eastAsia="fr-FR"/>
              </w:rPr>
            </w:pPr>
            <w:r w:rsidRPr="006D1426">
              <w:rPr>
                <w:rFonts w:ascii="Times New Roman" w:eastAsia="Times New Roman" w:hAnsi="Times New Roman"/>
                <w:b/>
                <w:color w:val="000000"/>
                <w:sz w:val="24"/>
                <w:szCs w:val="24"/>
                <w:lang w:eastAsia="fr-FR"/>
              </w:rPr>
              <w:t>0,5</w:t>
            </w:r>
          </w:p>
        </w:tc>
      </w:tr>
      <w:tr w:rsidR="006D1426" w:rsidRPr="006D1426" w:rsidTr="006D1426">
        <w:trPr>
          <w:trHeight w:val="312"/>
        </w:trPr>
        <w:tc>
          <w:tcPr>
            <w:tcW w:w="2282" w:type="pct"/>
            <w:shd w:val="clear" w:color="auto" w:fill="auto"/>
            <w:hideMark/>
          </w:tcPr>
          <w:p w:rsidR="006D1426" w:rsidRPr="006D1426" w:rsidRDefault="006D1426" w:rsidP="006D1426">
            <w:pPr>
              <w:spacing w:after="0" w:line="240" w:lineRule="auto"/>
              <w:ind w:firstLineChars="100" w:firstLine="24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Hommes</w:t>
            </w:r>
          </w:p>
        </w:tc>
        <w:tc>
          <w:tcPr>
            <w:tcW w:w="1382"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0,2</w:t>
            </w:r>
          </w:p>
        </w:tc>
        <w:tc>
          <w:tcPr>
            <w:tcW w:w="1336"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0,4</w:t>
            </w:r>
          </w:p>
        </w:tc>
      </w:tr>
      <w:tr w:rsidR="006D1426" w:rsidRPr="006D1426" w:rsidTr="006D1426">
        <w:trPr>
          <w:trHeight w:val="312"/>
        </w:trPr>
        <w:tc>
          <w:tcPr>
            <w:tcW w:w="2282" w:type="pct"/>
            <w:shd w:val="clear" w:color="auto" w:fill="auto"/>
            <w:hideMark/>
          </w:tcPr>
          <w:p w:rsidR="006D1426" w:rsidRPr="006D1426" w:rsidRDefault="006D1426" w:rsidP="006D1426">
            <w:pPr>
              <w:spacing w:after="0" w:line="240" w:lineRule="auto"/>
              <w:ind w:firstLineChars="100" w:firstLine="240"/>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Femmes</w:t>
            </w:r>
          </w:p>
        </w:tc>
        <w:tc>
          <w:tcPr>
            <w:tcW w:w="1382"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0</w:t>
            </w:r>
          </w:p>
        </w:tc>
        <w:tc>
          <w:tcPr>
            <w:tcW w:w="1336" w:type="pct"/>
            <w:shd w:val="clear" w:color="auto" w:fill="auto"/>
            <w:noWrap/>
            <w:vAlign w:val="center"/>
            <w:hideMark/>
          </w:tcPr>
          <w:p w:rsidR="006D1426" w:rsidRPr="006D1426" w:rsidRDefault="006D1426" w:rsidP="006D1426">
            <w:pPr>
              <w:spacing w:after="0" w:line="240" w:lineRule="auto"/>
              <w:rPr>
                <w:rFonts w:ascii="Times New Roman" w:eastAsia="Times New Roman" w:hAnsi="Times New Roman"/>
                <w:color w:val="000000"/>
                <w:sz w:val="24"/>
                <w:szCs w:val="24"/>
                <w:lang w:eastAsia="fr-FR"/>
              </w:rPr>
            </w:pPr>
            <w:r w:rsidRPr="006D1426">
              <w:rPr>
                <w:rFonts w:ascii="Times New Roman" w:eastAsia="Times New Roman" w:hAnsi="Times New Roman"/>
                <w:color w:val="000000"/>
                <w:sz w:val="24"/>
                <w:szCs w:val="24"/>
                <w:lang w:eastAsia="fr-FR"/>
              </w:rPr>
              <w:t>0,1</w:t>
            </w:r>
          </w:p>
        </w:tc>
      </w:tr>
    </w:tbl>
    <w:p w:rsidR="006D1426" w:rsidRPr="006D1426" w:rsidRDefault="006D1426" w:rsidP="006D1426">
      <w:pPr>
        <w:spacing w:after="0"/>
        <w:rPr>
          <w:rFonts w:ascii="Times New Roman" w:hAnsi="Times New Roman"/>
        </w:rPr>
      </w:pPr>
      <w:r w:rsidRPr="006D1426">
        <w:rPr>
          <w:rFonts w:ascii="Times New Roman" w:hAnsi="Times New Roman"/>
        </w:rPr>
        <w:t>Source : Données PAPA, 2018</w:t>
      </w:r>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lastRenderedPageBreak/>
        <w:t>Le tableau </w:t>
      </w:r>
      <w:r w:rsidR="00184205" w:rsidRPr="00184205">
        <w:rPr>
          <w:rFonts w:ascii="Times New Roman" w:hAnsi="Times New Roman"/>
          <w:sz w:val="24"/>
        </w:rPr>
        <w:t>16</w:t>
      </w:r>
      <w:r w:rsidRPr="006D1426">
        <w:rPr>
          <w:rFonts w:ascii="Times New Roman" w:hAnsi="Times New Roman"/>
          <w:sz w:val="24"/>
        </w:rPr>
        <w:t xml:space="preserve"> présente la composition des employés permanents pour 100 détaillants. Ce nombre a considérablement augmenté entre le démarrage et 2018, passant de 13 à 36 personnes. Ainsi le nombre d’employés connait une tendance à la hausse dans le temps. Les employés sont essentiellement </w:t>
      </w:r>
      <w:r w:rsidR="00825BCD">
        <w:rPr>
          <w:rFonts w:ascii="Times New Roman" w:hAnsi="Times New Roman"/>
          <w:sz w:val="24"/>
        </w:rPr>
        <w:t>de la famille avec une domination</w:t>
      </w:r>
      <w:r w:rsidRPr="006D1426">
        <w:rPr>
          <w:rFonts w:ascii="Times New Roman" w:hAnsi="Times New Roman"/>
          <w:sz w:val="24"/>
        </w:rPr>
        <w:t xml:space="preserve"> des hommes.</w:t>
      </w:r>
    </w:p>
    <w:p w:rsidR="006D1426" w:rsidRPr="006D1426" w:rsidRDefault="00825BCD" w:rsidP="00825BCD">
      <w:pPr>
        <w:pStyle w:val="Lgende"/>
        <w:rPr>
          <w:iCs w:val="0"/>
          <w:szCs w:val="24"/>
        </w:rPr>
      </w:pPr>
      <w:bookmarkStart w:id="86" w:name="_Toc1484504"/>
      <w:bookmarkStart w:id="87" w:name="_Toc3549408"/>
      <w:bookmarkStart w:id="88" w:name="_Toc34303313"/>
      <w:r w:rsidRPr="00825BCD">
        <w:rPr>
          <w:b/>
        </w:rPr>
        <w:t xml:space="preserve">Tableau </w:t>
      </w:r>
      <w:r w:rsidRPr="00825BCD">
        <w:rPr>
          <w:b/>
        </w:rPr>
        <w:fldChar w:fldCharType="begin"/>
      </w:r>
      <w:r w:rsidRPr="00825BCD">
        <w:rPr>
          <w:b/>
        </w:rPr>
        <w:instrText xml:space="preserve"> SEQ Tableau \* ARABIC </w:instrText>
      </w:r>
      <w:r w:rsidRPr="00825BCD">
        <w:rPr>
          <w:b/>
        </w:rPr>
        <w:fldChar w:fldCharType="separate"/>
      </w:r>
      <w:r w:rsidR="00900EA8">
        <w:rPr>
          <w:b/>
          <w:noProof/>
        </w:rPr>
        <w:t>16</w:t>
      </w:r>
      <w:r w:rsidRPr="00825BCD">
        <w:rPr>
          <w:b/>
        </w:rPr>
        <w:fldChar w:fldCharType="end"/>
      </w:r>
      <w:r w:rsidR="006D1426" w:rsidRPr="006D1426">
        <w:rPr>
          <w:iCs w:val="0"/>
          <w:szCs w:val="24"/>
        </w:rPr>
        <w:t>: Composition des employés permanents pour 100 détaillants</w:t>
      </w:r>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2505"/>
        <w:gridCol w:w="2418"/>
      </w:tblGrid>
      <w:tr w:rsidR="006D1426" w:rsidRPr="006D1426" w:rsidTr="00825BCD">
        <w:trPr>
          <w:trHeight w:val="312"/>
        </w:trPr>
        <w:tc>
          <w:tcPr>
            <w:tcW w:w="2282" w:type="pct"/>
            <w:shd w:val="clear" w:color="auto" w:fill="auto"/>
          </w:tcPr>
          <w:p w:rsidR="006D1426" w:rsidRPr="006D1426" w:rsidRDefault="006D1426" w:rsidP="006D1426">
            <w:pPr>
              <w:spacing w:after="0" w:line="240" w:lineRule="auto"/>
              <w:rPr>
                <w:rFonts w:ascii="Times New Roman" w:hAnsi="Times New Roman"/>
                <w:b/>
                <w:bCs/>
                <w:sz w:val="24"/>
                <w:szCs w:val="24"/>
              </w:rPr>
            </w:pPr>
          </w:p>
        </w:tc>
        <w:tc>
          <w:tcPr>
            <w:tcW w:w="1383" w:type="pct"/>
            <w:shd w:val="clear" w:color="auto" w:fill="auto"/>
            <w:noWrap/>
            <w:vAlign w:val="bottom"/>
          </w:tcPr>
          <w:p w:rsidR="006D1426" w:rsidRPr="006D1426" w:rsidRDefault="006D1426" w:rsidP="006D1426">
            <w:pPr>
              <w:spacing w:after="0" w:line="240" w:lineRule="auto"/>
              <w:rPr>
                <w:rFonts w:ascii="Times New Roman" w:hAnsi="Times New Roman"/>
                <w:b/>
                <w:color w:val="000000"/>
                <w:sz w:val="24"/>
                <w:szCs w:val="24"/>
              </w:rPr>
            </w:pPr>
            <w:r w:rsidRPr="006D1426">
              <w:rPr>
                <w:rFonts w:ascii="Times New Roman" w:hAnsi="Times New Roman"/>
                <w:b/>
                <w:color w:val="000000"/>
                <w:sz w:val="24"/>
                <w:szCs w:val="24"/>
              </w:rPr>
              <w:t>Démarrage</w:t>
            </w:r>
          </w:p>
        </w:tc>
        <w:tc>
          <w:tcPr>
            <w:tcW w:w="1336" w:type="pct"/>
            <w:shd w:val="clear" w:color="auto" w:fill="auto"/>
            <w:noWrap/>
            <w:vAlign w:val="bottom"/>
          </w:tcPr>
          <w:p w:rsidR="006D1426" w:rsidRPr="006D1426" w:rsidRDefault="006D1426" w:rsidP="006D1426">
            <w:pPr>
              <w:spacing w:after="0" w:line="240" w:lineRule="auto"/>
              <w:rPr>
                <w:rFonts w:ascii="Times New Roman" w:hAnsi="Times New Roman"/>
                <w:b/>
                <w:color w:val="000000"/>
                <w:sz w:val="24"/>
                <w:szCs w:val="24"/>
              </w:rPr>
            </w:pPr>
            <w:r w:rsidRPr="006D1426">
              <w:rPr>
                <w:rFonts w:ascii="Times New Roman" w:hAnsi="Times New Roman"/>
                <w:b/>
                <w:color w:val="000000"/>
                <w:sz w:val="24"/>
                <w:szCs w:val="24"/>
              </w:rPr>
              <w:t>2018</w:t>
            </w:r>
          </w:p>
        </w:tc>
      </w:tr>
      <w:tr w:rsidR="00825BCD" w:rsidRPr="006D1426" w:rsidTr="00825BCD">
        <w:trPr>
          <w:trHeight w:val="312"/>
        </w:trPr>
        <w:tc>
          <w:tcPr>
            <w:tcW w:w="2282" w:type="pct"/>
            <w:shd w:val="clear" w:color="auto" w:fill="auto"/>
            <w:hideMark/>
          </w:tcPr>
          <w:p w:rsidR="00825BCD" w:rsidRPr="006D1426" w:rsidRDefault="00825BCD" w:rsidP="00825BCD">
            <w:pPr>
              <w:spacing w:after="0" w:line="240" w:lineRule="auto"/>
              <w:rPr>
                <w:rFonts w:ascii="Times New Roman" w:hAnsi="Times New Roman"/>
                <w:b/>
                <w:bCs/>
                <w:sz w:val="24"/>
                <w:szCs w:val="24"/>
              </w:rPr>
            </w:pPr>
            <w:r w:rsidRPr="006D1426">
              <w:rPr>
                <w:rFonts w:ascii="Times New Roman" w:hAnsi="Times New Roman"/>
                <w:b/>
                <w:bCs/>
                <w:sz w:val="24"/>
                <w:szCs w:val="24"/>
              </w:rPr>
              <w:t>Nombre moyen total d’employés</w:t>
            </w:r>
          </w:p>
        </w:tc>
        <w:tc>
          <w:tcPr>
            <w:tcW w:w="138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13</w:t>
            </w:r>
          </w:p>
        </w:tc>
        <w:tc>
          <w:tcPr>
            <w:tcW w:w="1336" w:type="pct"/>
            <w:tcBorders>
              <w:top w:val="single" w:sz="8" w:space="0" w:color="auto"/>
              <w:left w:val="nil"/>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36</w:t>
            </w:r>
          </w:p>
        </w:tc>
      </w:tr>
      <w:tr w:rsidR="00825BCD" w:rsidRPr="006D1426" w:rsidTr="00825BCD">
        <w:trPr>
          <w:trHeight w:val="312"/>
        </w:trPr>
        <w:tc>
          <w:tcPr>
            <w:tcW w:w="2282" w:type="pct"/>
            <w:shd w:val="clear" w:color="auto" w:fill="auto"/>
            <w:hideMark/>
          </w:tcPr>
          <w:p w:rsidR="00825BCD" w:rsidRPr="006D1426" w:rsidRDefault="00825BCD" w:rsidP="00825BCD">
            <w:pPr>
              <w:spacing w:after="0" w:line="240" w:lineRule="auto"/>
              <w:ind w:left="708"/>
              <w:rPr>
                <w:rFonts w:ascii="Times New Roman" w:hAnsi="Times New Roman"/>
                <w:sz w:val="24"/>
                <w:szCs w:val="24"/>
              </w:rPr>
            </w:pPr>
            <w:r w:rsidRPr="006D1426">
              <w:rPr>
                <w:rFonts w:ascii="Times New Roman" w:hAnsi="Times New Roman"/>
                <w:sz w:val="24"/>
                <w:szCs w:val="24"/>
              </w:rPr>
              <w:t>Hommes</w:t>
            </w:r>
          </w:p>
        </w:tc>
        <w:tc>
          <w:tcPr>
            <w:tcW w:w="1383" w:type="pct"/>
            <w:tcBorders>
              <w:top w:val="nil"/>
              <w:left w:val="single" w:sz="8" w:space="0" w:color="auto"/>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11</w:t>
            </w:r>
          </w:p>
        </w:tc>
        <w:tc>
          <w:tcPr>
            <w:tcW w:w="1336" w:type="pct"/>
            <w:tcBorders>
              <w:top w:val="nil"/>
              <w:left w:val="nil"/>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29</w:t>
            </w:r>
          </w:p>
        </w:tc>
      </w:tr>
      <w:tr w:rsidR="00825BCD" w:rsidRPr="006D1426" w:rsidTr="00825BCD">
        <w:trPr>
          <w:trHeight w:val="312"/>
        </w:trPr>
        <w:tc>
          <w:tcPr>
            <w:tcW w:w="2282" w:type="pct"/>
            <w:shd w:val="clear" w:color="auto" w:fill="auto"/>
            <w:hideMark/>
          </w:tcPr>
          <w:p w:rsidR="00825BCD" w:rsidRPr="006D1426" w:rsidRDefault="00825BCD" w:rsidP="00825BCD">
            <w:pPr>
              <w:spacing w:after="0" w:line="240" w:lineRule="auto"/>
              <w:ind w:left="708"/>
              <w:rPr>
                <w:rFonts w:ascii="Times New Roman" w:hAnsi="Times New Roman"/>
                <w:sz w:val="24"/>
                <w:szCs w:val="24"/>
              </w:rPr>
            </w:pPr>
            <w:r w:rsidRPr="006D1426">
              <w:rPr>
                <w:rFonts w:ascii="Times New Roman" w:hAnsi="Times New Roman"/>
                <w:sz w:val="24"/>
                <w:szCs w:val="24"/>
              </w:rPr>
              <w:t>Femmes</w:t>
            </w:r>
          </w:p>
        </w:tc>
        <w:tc>
          <w:tcPr>
            <w:tcW w:w="1383" w:type="pct"/>
            <w:tcBorders>
              <w:top w:val="nil"/>
              <w:left w:val="single" w:sz="8" w:space="0" w:color="auto"/>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2</w:t>
            </w:r>
          </w:p>
        </w:tc>
        <w:tc>
          <w:tcPr>
            <w:tcW w:w="1336" w:type="pct"/>
            <w:tcBorders>
              <w:top w:val="nil"/>
              <w:left w:val="nil"/>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7</w:t>
            </w:r>
          </w:p>
        </w:tc>
      </w:tr>
      <w:tr w:rsidR="00825BCD" w:rsidRPr="006D1426" w:rsidTr="00825BCD">
        <w:trPr>
          <w:trHeight w:val="324"/>
        </w:trPr>
        <w:tc>
          <w:tcPr>
            <w:tcW w:w="2282" w:type="pct"/>
            <w:shd w:val="clear" w:color="auto" w:fill="auto"/>
            <w:hideMark/>
          </w:tcPr>
          <w:p w:rsidR="00825BCD" w:rsidRPr="006D1426" w:rsidRDefault="00825BCD" w:rsidP="00825BCD">
            <w:pPr>
              <w:spacing w:after="0" w:line="240" w:lineRule="auto"/>
              <w:rPr>
                <w:rFonts w:ascii="Times New Roman" w:hAnsi="Times New Roman"/>
                <w:b/>
                <w:bCs/>
                <w:i/>
                <w:iCs/>
                <w:sz w:val="24"/>
                <w:szCs w:val="24"/>
              </w:rPr>
            </w:pPr>
            <w:r w:rsidRPr="006D1426">
              <w:rPr>
                <w:rFonts w:ascii="Times New Roman" w:hAnsi="Times New Roman"/>
                <w:b/>
                <w:bCs/>
                <w:i/>
                <w:iCs/>
                <w:sz w:val="24"/>
                <w:szCs w:val="24"/>
              </w:rPr>
              <w:t>Nombre moyen MO familiale</w:t>
            </w:r>
          </w:p>
        </w:tc>
        <w:tc>
          <w:tcPr>
            <w:tcW w:w="1383" w:type="pct"/>
            <w:tcBorders>
              <w:top w:val="nil"/>
              <w:left w:val="single" w:sz="8" w:space="0" w:color="auto"/>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10</w:t>
            </w:r>
          </w:p>
        </w:tc>
        <w:tc>
          <w:tcPr>
            <w:tcW w:w="1336" w:type="pct"/>
            <w:tcBorders>
              <w:top w:val="nil"/>
              <w:left w:val="nil"/>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27</w:t>
            </w:r>
          </w:p>
        </w:tc>
      </w:tr>
      <w:tr w:rsidR="00825BCD" w:rsidRPr="006D1426" w:rsidTr="00825BCD">
        <w:trPr>
          <w:trHeight w:val="312"/>
        </w:trPr>
        <w:tc>
          <w:tcPr>
            <w:tcW w:w="2282" w:type="pct"/>
            <w:shd w:val="clear" w:color="auto" w:fill="auto"/>
            <w:hideMark/>
          </w:tcPr>
          <w:p w:rsidR="00825BCD" w:rsidRPr="006D1426" w:rsidRDefault="00825BCD" w:rsidP="00825BCD">
            <w:pPr>
              <w:spacing w:after="0" w:line="240" w:lineRule="auto"/>
              <w:ind w:left="708"/>
              <w:rPr>
                <w:rFonts w:ascii="Times New Roman" w:hAnsi="Times New Roman"/>
                <w:sz w:val="24"/>
                <w:szCs w:val="24"/>
              </w:rPr>
            </w:pPr>
            <w:r w:rsidRPr="006D1426">
              <w:rPr>
                <w:rFonts w:ascii="Times New Roman" w:hAnsi="Times New Roman"/>
                <w:sz w:val="24"/>
                <w:szCs w:val="24"/>
              </w:rPr>
              <w:t>Hommes</w:t>
            </w:r>
          </w:p>
        </w:tc>
        <w:tc>
          <w:tcPr>
            <w:tcW w:w="1383" w:type="pct"/>
            <w:tcBorders>
              <w:top w:val="nil"/>
              <w:left w:val="single" w:sz="8" w:space="0" w:color="auto"/>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8</w:t>
            </w:r>
          </w:p>
        </w:tc>
        <w:tc>
          <w:tcPr>
            <w:tcW w:w="1336" w:type="pct"/>
            <w:tcBorders>
              <w:top w:val="nil"/>
              <w:left w:val="nil"/>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21</w:t>
            </w:r>
          </w:p>
        </w:tc>
      </w:tr>
      <w:tr w:rsidR="00825BCD" w:rsidRPr="006D1426" w:rsidTr="00825BCD">
        <w:trPr>
          <w:trHeight w:val="312"/>
        </w:trPr>
        <w:tc>
          <w:tcPr>
            <w:tcW w:w="2282" w:type="pct"/>
            <w:shd w:val="clear" w:color="auto" w:fill="auto"/>
            <w:hideMark/>
          </w:tcPr>
          <w:p w:rsidR="00825BCD" w:rsidRPr="006D1426" w:rsidRDefault="00825BCD" w:rsidP="00825BCD">
            <w:pPr>
              <w:spacing w:after="0" w:line="240" w:lineRule="auto"/>
              <w:ind w:left="708"/>
              <w:rPr>
                <w:rFonts w:ascii="Times New Roman" w:hAnsi="Times New Roman"/>
                <w:sz w:val="24"/>
                <w:szCs w:val="24"/>
              </w:rPr>
            </w:pPr>
            <w:r w:rsidRPr="006D1426">
              <w:rPr>
                <w:rFonts w:ascii="Times New Roman" w:hAnsi="Times New Roman"/>
                <w:sz w:val="24"/>
                <w:szCs w:val="24"/>
              </w:rPr>
              <w:t>Femmes</w:t>
            </w:r>
          </w:p>
        </w:tc>
        <w:tc>
          <w:tcPr>
            <w:tcW w:w="1383" w:type="pct"/>
            <w:tcBorders>
              <w:top w:val="nil"/>
              <w:left w:val="single" w:sz="8" w:space="0" w:color="auto"/>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2</w:t>
            </w:r>
          </w:p>
        </w:tc>
        <w:tc>
          <w:tcPr>
            <w:tcW w:w="1336" w:type="pct"/>
            <w:tcBorders>
              <w:top w:val="nil"/>
              <w:left w:val="nil"/>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6</w:t>
            </w:r>
          </w:p>
        </w:tc>
      </w:tr>
      <w:tr w:rsidR="00825BCD" w:rsidRPr="006D1426" w:rsidTr="00825BCD">
        <w:trPr>
          <w:trHeight w:val="324"/>
        </w:trPr>
        <w:tc>
          <w:tcPr>
            <w:tcW w:w="2282" w:type="pct"/>
            <w:shd w:val="clear" w:color="auto" w:fill="auto"/>
            <w:hideMark/>
          </w:tcPr>
          <w:p w:rsidR="00825BCD" w:rsidRPr="006D1426" w:rsidRDefault="00825BCD" w:rsidP="00825BCD">
            <w:pPr>
              <w:spacing w:after="0" w:line="240" w:lineRule="auto"/>
              <w:rPr>
                <w:rFonts w:ascii="Times New Roman" w:hAnsi="Times New Roman"/>
                <w:b/>
                <w:bCs/>
                <w:i/>
                <w:iCs/>
                <w:sz w:val="24"/>
                <w:szCs w:val="24"/>
              </w:rPr>
            </w:pPr>
            <w:r w:rsidRPr="006D1426">
              <w:rPr>
                <w:rFonts w:ascii="Times New Roman" w:hAnsi="Times New Roman"/>
                <w:b/>
                <w:bCs/>
                <w:i/>
                <w:iCs/>
                <w:sz w:val="24"/>
                <w:szCs w:val="24"/>
              </w:rPr>
              <w:t>Nombre moyen MO salariée</w:t>
            </w:r>
          </w:p>
        </w:tc>
        <w:tc>
          <w:tcPr>
            <w:tcW w:w="1383" w:type="pct"/>
            <w:tcBorders>
              <w:top w:val="nil"/>
              <w:left w:val="single" w:sz="8" w:space="0" w:color="auto"/>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3</w:t>
            </w:r>
          </w:p>
        </w:tc>
        <w:tc>
          <w:tcPr>
            <w:tcW w:w="1336" w:type="pct"/>
            <w:tcBorders>
              <w:top w:val="nil"/>
              <w:left w:val="nil"/>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9</w:t>
            </w:r>
          </w:p>
        </w:tc>
      </w:tr>
      <w:tr w:rsidR="00825BCD" w:rsidRPr="006D1426" w:rsidTr="00825BCD">
        <w:trPr>
          <w:trHeight w:val="312"/>
        </w:trPr>
        <w:tc>
          <w:tcPr>
            <w:tcW w:w="2282" w:type="pct"/>
            <w:shd w:val="clear" w:color="auto" w:fill="auto"/>
            <w:hideMark/>
          </w:tcPr>
          <w:p w:rsidR="00825BCD" w:rsidRPr="006D1426" w:rsidRDefault="00825BCD" w:rsidP="00825BCD">
            <w:pPr>
              <w:spacing w:after="0" w:line="240" w:lineRule="auto"/>
              <w:ind w:left="708"/>
              <w:rPr>
                <w:rFonts w:ascii="Times New Roman" w:hAnsi="Times New Roman"/>
                <w:sz w:val="24"/>
                <w:szCs w:val="24"/>
              </w:rPr>
            </w:pPr>
            <w:r w:rsidRPr="006D1426">
              <w:rPr>
                <w:rFonts w:ascii="Times New Roman" w:hAnsi="Times New Roman"/>
                <w:sz w:val="24"/>
                <w:szCs w:val="24"/>
              </w:rPr>
              <w:t>Hommes</w:t>
            </w:r>
          </w:p>
        </w:tc>
        <w:tc>
          <w:tcPr>
            <w:tcW w:w="1383" w:type="pct"/>
            <w:tcBorders>
              <w:top w:val="nil"/>
              <w:left w:val="single" w:sz="8" w:space="0" w:color="auto"/>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3</w:t>
            </w:r>
          </w:p>
        </w:tc>
        <w:tc>
          <w:tcPr>
            <w:tcW w:w="1336" w:type="pct"/>
            <w:tcBorders>
              <w:top w:val="nil"/>
              <w:left w:val="nil"/>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8</w:t>
            </w:r>
          </w:p>
        </w:tc>
      </w:tr>
      <w:tr w:rsidR="00825BCD" w:rsidRPr="006D1426" w:rsidTr="00825BCD">
        <w:trPr>
          <w:trHeight w:val="312"/>
        </w:trPr>
        <w:tc>
          <w:tcPr>
            <w:tcW w:w="2282" w:type="pct"/>
            <w:shd w:val="clear" w:color="auto" w:fill="auto"/>
            <w:hideMark/>
          </w:tcPr>
          <w:p w:rsidR="00825BCD" w:rsidRPr="006D1426" w:rsidRDefault="00825BCD" w:rsidP="00825BCD">
            <w:pPr>
              <w:spacing w:after="0" w:line="240" w:lineRule="auto"/>
              <w:ind w:left="708"/>
              <w:rPr>
                <w:rFonts w:ascii="Times New Roman" w:hAnsi="Times New Roman"/>
                <w:sz w:val="24"/>
                <w:szCs w:val="24"/>
              </w:rPr>
            </w:pPr>
            <w:r w:rsidRPr="006D1426">
              <w:rPr>
                <w:rFonts w:ascii="Times New Roman" w:hAnsi="Times New Roman"/>
                <w:sz w:val="24"/>
                <w:szCs w:val="24"/>
              </w:rPr>
              <w:t>Femmes</w:t>
            </w:r>
          </w:p>
        </w:tc>
        <w:tc>
          <w:tcPr>
            <w:tcW w:w="1383" w:type="pct"/>
            <w:tcBorders>
              <w:top w:val="nil"/>
              <w:left w:val="single" w:sz="8" w:space="0" w:color="auto"/>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0</w:t>
            </w:r>
          </w:p>
        </w:tc>
        <w:tc>
          <w:tcPr>
            <w:tcW w:w="1336" w:type="pct"/>
            <w:tcBorders>
              <w:top w:val="nil"/>
              <w:left w:val="nil"/>
              <w:bottom w:val="single" w:sz="8" w:space="0" w:color="auto"/>
              <w:right w:val="single" w:sz="8" w:space="0" w:color="auto"/>
            </w:tcBorders>
            <w:shd w:val="clear" w:color="auto" w:fill="auto"/>
            <w:noWrap/>
            <w:vAlign w:val="center"/>
            <w:hideMark/>
          </w:tcPr>
          <w:p w:rsidR="00825BCD" w:rsidRPr="00825BCD" w:rsidRDefault="00825BCD" w:rsidP="00825BCD">
            <w:pPr>
              <w:rPr>
                <w:rFonts w:ascii="Times New Roman" w:hAnsi="Times New Roman" w:cs="Times New Roman"/>
                <w:color w:val="000000"/>
              </w:rPr>
            </w:pPr>
            <w:r w:rsidRPr="00825BCD">
              <w:rPr>
                <w:rFonts w:ascii="Times New Roman" w:hAnsi="Times New Roman" w:cs="Times New Roman"/>
                <w:color w:val="000000"/>
              </w:rPr>
              <w:t>0</w:t>
            </w:r>
          </w:p>
        </w:tc>
      </w:tr>
    </w:tbl>
    <w:p w:rsidR="006D1426" w:rsidRPr="006D1426" w:rsidRDefault="006D1426" w:rsidP="006D1426">
      <w:pPr>
        <w:spacing w:after="0"/>
        <w:rPr>
          <w:rFonts w:ascii="Times New Roman" w:hAnsi="Times New Roman"/>
        </w:rPr>
      </w:pPr>
      <w:r w:rsidRPr="006D1426">
        <w:rPr>
          <w:rFonts w:ascii="Times New Roman" w:hAnsi="Times New Roman"/>
        </w:rPr>
        <w:t>Source : Données PAPA, 2018</w:t>
      </w:r>
    </w:p>
    <w:p w:rsidR="006D1426" w:rsidRPr="006D1426" w:rsidRDefault="006D1426" w:rsidP="006D1426">
      <w:pPr>
        <w:rPr>
          <w:rFonts w:ascii="Times New Roman" w:hAnsi="Times New Roman"/>
        </w:rPr>
      </w:pPr>
      <w:r w:rsidRPr="006D1426">
        <w:rPr>
          <w:rFonts w:ascii="Times New Roman" w:hAnsi="Times New Roman"/>
        </w:rPr>
        <w:t xml:space="preserve">Note : MO signifie main-d’œuvre </w:t>
      </w:r>
    </w:p>
    <w:p w:rsidR="00C13249" w:rsidRDefault="00825BCD" w:rsidP="00825BCD">
      <w:pPr>
        <w:pStyle w:val="Titre1"/>
        <w:numPr>
          <w:ilvl w:val="0"/>
          <w:numId w:val="0"/>
        </w:numPr>
      </w:pPr>
      <w:bookmarkStart w:id="89" w:name="_Toc34303397"/>
      <w:r w:rsidRPr="00363AA8">
        <w:t>V.</w:t>
      </w:r>
      <w:r w:rsidR="0044635E" w:rsidRPr="00363AA8">
        <w:t> </w:t>
      </w:r>
      <w:r w:rsidR="005B594A" w:rsidRPr="00363AA8">
        <w:t>Performance</w:t>
      </w:r>
      <w:r w:rsidR="00225D9A" w:rsidRPr="00363AA8">
        <w:t xml:space="preserve"> du commerce de détail</w:t>
      </w:r>
      <w:bookmarkEnd w:id="89"/>
    </w:p>
    <w:p w:rsidR="006D1426" w:rsidRPr="006D1426" w:rsidRDefault="006D1426" w:rsidP="006D1426">
      <w:pPr>
        <w:spacing w:before="120" w:after="120" w:line="360" w:lineRule="auto"/>
        <w:jc w:val="both"/>
        <w:rPr>
          <w:rFonts w:ascii="Times New Roman" w:hAnsi="Times New Roman"/>
          <w:sz w:val="24"/>
        </w:rPr>
      </w:pPr>
      <w:r w:rsidRPr="006D1426">
        <w:rPr>
          <w:rFonts w:ascii="Times New Roman" w:hAnsi="Times New Roman"/>
          <w:sz w:val="24"/>
        </w:rPr>
        <w:t>L’analyse des données du tableau </w:t>
      </w:r>
      <w:r w:rsidR="008905FF">
        <w:rPr>
          <w:rFonts w:ascii="Times New Roman" w:hAnsi="Times New Roman"/>
          <w:sz w:val="24"/>
        </w:rPr>
        <w:t>17</w:t>
      </w:r>
      <w:r w:rsidRPr="006D1426">
        <w:rPr>
          <w:rFonts w:ascii="Times New Roman" w:hAnsi="Times New Roman"/>
          <w:sz w:val="24"/>
        </w:rPr>
        <w:t xml:space="preserve"> montre que les dépenses totales moyennes pour la main-d’œuvre sont faibles. Pour les employés permanents, elles s’élèvent en moyenne </w:t>
      </w:r>
      <w:r w:rsidR="008905FF">
        <w:rPr>
          <w:rFonts w:ascii="Times New Roman" w:hAnsi="Times New Roman"/>
          <w:sz w:val="24"/>
        </w:rPr>
        <w:t xml:space="preserve">à </w:t>
      </w:r>
      <w:r w:rsidRPr="006D1426">
        <w:rPr>
          <w:rFonts w:ascii="Times New Roman" w:hAnsi="Times New Roman"/>
          <w:sz w:val="24"/>
        </w:rPr>
        <w:t>7000 FCFA par mois pour les membres de la famille en 2018 contre environ 3900 FCFA pour les salariés. Ces dépenses mensuelles sont très faibles et sont à l’image du faible recrutement d’employés par les détaillants de céréales.</w:t>
      </w:r>
    </w:p>
    <w:p w:rsidR="006D1426" w:rsidRPr="006D1426" w:rsidRDefault="008905FF" w:rsidP="008905FF">
      <w:pPr>
        <w:pStyle w:val="Lgende"/>
        <w:rPr>
          <w:iCs w:val="0"/>
          <w:szCs w:val="24"/>
        </w:rPr>
      </w:pPr>
      <w:bookmarkStart w:id="90" w:name="_Toc1484506"/>
      <w:bookmarkStart w:id="91" w:name="_Toc3549392"/>
      <w:bookmarkStart w:id="92" w:name="_Toc34303314"/>
      <w:r w:rsidRPr="008905FF">
        <w:rPr>
          <w:b/>
        </w:rPr>
        <w:t xml:space="preserve">Tableau </w:t>
      </w:r>
      <w:r w:rsidRPr="008905FF">
        <w:rPr>
          <w:b/>
        </w:rPr>
        <w:fldChar w:fldCharType="begin"/>
      </w:r>
      <w:r w:rsidRPr="008905FF">
        <w:rPr>
          <w:b/>
        </w:rPr>
        <w:instrText xml:space="preserve"> SEQ Tableau \* ARABIC </w:instrText>
      </w:r>
      <w:r w:rsidRPr="008905FF">
        <w:rPr>
          <w:b/>
        </w:rPr>
        <w:fldChar w:fldCharType="separate"/>
      </w:r>
      <w:r w:rsidR="00900EA8">
        <w:rPr>
          <w:b/>
          <w:noProof/>
        </w:rPr>
        <w:t>17</w:t>
      </w:r>
      <w:r w:rsidRPr="008905FF">
        <w:rPr>
          <w:b/>
        </w:rPr>
        <w:fldChar w:fldCharType="end"/>
      </w:r>
      <w:r w:rsidRPr="008905FF">
        <w:rPr>
          <w:b/>
        </w:rPr>
        <w:t>:</w:t>
      </w:r>
      <w:r w:rsidR="006D1426" w:rsidRPr="006D1426">
        <w:rPr>
          <w:szCs w:val="24"/>
        </w:rPr>
        <w:t>: Dépenses mensuelles totales moyennes pour la main-d’œuvre, par type</w:t>
      </w:r>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585"/>
        <w:gridCol w:w="1454"/>
        <w:gridCol w:w="1473"/>
        <w:gridCol w:w="1530"/>
      </w:tblGrid>
      <w:tr w:rsidR="006D1426" w:rsidRPr="006D1426" w:rsidTr="006D1426">
        <w:trPr>
          <w:trHeight w:val="288"/>
        </w:trPr>
        <w:tc>
          <w:tcPr>
            <w:tcW w:w="3256" w:type="dxa"/>
            <w:vMerge w:val="restart"/>
            <w:shd w:val="clear" w:color="auto" w:fill="auto"/>
            <w:noWrap/>
            <w:hideMark/>
          </w:tcPr>
          <w:p w:rsidR="006D1426" w:rsidRPr="006D1426" w:rsidRDefault="006D1426" w:rsidP="006D1426">
            <w:pPr>
              <w:spacing w:after="0" w:line="240" w:lineRule="auto"/>
              <w:rPr>
                <w:rFonts w:ascii="Times New Roman" w:hAnsi="Times New Roman"/>
                <w:b/>
                <w:sz w:val="24"/>
                <w:szCs w:val="24"/>
              </w:rPr>
            </w:pPr>
            <w:r w:rsidRPr="006D1426">
              <w:rPr>
                <w:rFonts w:ascii="Times New Roman" w:hAnsi="Times New Roman"/>
                <w:b/>
                <w:sz w:val="24"/>
                <w:szCs w:val="24"/>
              </w:rPr>
              <w:t> </w:t>
            </w:r>
          </w:p>
        </w:tc>
        <w:tc>
          <w:tcPr>
            <w:tcW w:w="3260" w:type="dxa"/>
            <w:gridSpan w:val="2"/>
            <w:shd w:val="clear" w:color="auto" w:fill="auto"/>
            <w:noWrap/>
            <w:hideMark/>
          </w:tcPr>
          <w:p w:rsidR="006D1426" w:rsidRPr="006D1426" w:rsidRDefault="006D1426" w:rsidP="006D1426">
            <w:pPr>
              <w:spacing w:after="0" w:line="240" w:lineRule="auto"/>
              <w:jc w:val="center"/>
              <w:rPr>
                <w:rFonts w:ascii="Times New Roman" w:hAnsi="Times New Roman"/>
                <w:b/>
                <w:sz w:val="24"/>
                <w:szCs w:val="24"/>
              </w:rPr>
            </w:pPr>
            <w:r w:rsidRPr="006D1426">
              <w:rPr>
                <w:rFonts w:ascii="Times New Roman" w:hAnsi="Times New Roman"/>
                <w:b/>
                <w:sz w:val="24"/>
                <w:szCs w:val="24"/>
              </w:rPr>
              <w:t>Employés permanents</w:t>
            </w:r>
          </w:p>
        </w:tc>
        <w:tc>
          <w:tcPr>
            <w:tcW w:w="3220" w:type="dxa"/>
            <w:gridSpan w:val="2"/>
            <w:shd w:val="clear" w:color="auto" w:fill="auto"/>
            <w:noWrap/>
            <w:hideMark/>
          </w:tcPr>
          <w:p w:rsidR="006D1426" w:rsidRPr="006D1426" w:rsidRDefault="006D1426" w:rsidP="006D1426">
            <w:pPr>
              <w:spacing w:after="0" w:line="240" w:lineRule="auto"/>
              <w:jc w:val="center"/>
              <w:rPr>
                <w:rFonts w:ascii="Times New Roman" w:hAnsi="Times New Roman"/>
                <w:b/>
                <w:sz w:val="24"/>
                <w:szCs w:val="24"/>
              </w:rPr>
            </w:pPr>
            <w:r w:rsidRPr="006D1426">
              <w:rPr>
                <w:rFonts w:ascii="Times New Roman" w:hAnsi="Times New Roman"/>
                <w:b/>
                <w:sz w:val="24"/>
                <w:szCs w:val="24"/>
              </w:rPr>
              <w:t>Employés temporaires</w:t>
            </w:r>
          </w:p>
        </w:tc>
      </w:tr>
      <w:tr w:rsidR="006D1426" w:rsidRPr="006D1426" w:rsidTr="006D1426">
        <w:trPr>
          <w:trHeight w:val="288"/>
        </w:trPr>
        <w:tc>
          <w:tcPr>
            <w:tcW w:w="3256" w:type="dxa"/>
            <w:vMerge/>
            <w:shd w:val="clear" w:color="auto" w:fill="auto"/>
            <w:noWrap/>
            <w:hideMark/>
          </w:tcPr>
          <w:p w:rsidR="006D1426" w:rsidRPr="006D1426" w:rsidRDefault="006D1426" w:rsidP="006D1426">
            <w:pPr>
              <w:spacing w:after="0" w:line="240" w:lineRule="auto"/>
              <w:rPr>
                <w:rFonts w:ascii="Times New Roman" w:hAnsi="Times New Roman"/>
                <w:b/>
                <w:sz w:val="24"/>
                <w:szCs w:val="24"/>
              </w:rPr>
            </w:pPr>
          </w:p>
        </w:tc>
        <w:tc>
          <w:tcPr>
            <w:tcW w:w="1701" w:type="dxa"/>
            <w:shd w:val="clear" w:color="auto" w:fill="auto"/>
            <w:noWrap/>
            <w:hideMark/>
          </w:tcPr>
          <w:p w:rsidR="006D1426" w:rsidRPr="006D1426" w:rsidRDefault="006D1426" w:rsidP="006D1426">
            <w:pPr>
              <w:spacing w:after="0" w:line="240" w:lineRule="auto"/>
              <w:rPr>
                <w:rFonts w:ascii="Times New Roman" w:hAnsi="Times New Roman"/>
                <w:b/>
                <w:sz w:val="24"/>
                <w:szCs w:val="24"/>
              </w:rPr>
            </w:pPr>
            <w:r w:rsidRPr="006D1426">
              <w:rPr>
                <w:rFonts w:ascii="Times New Roman" w:hAnsi="Times New Roman"/>
                <w:b/>
                <w:sz w:val="24"/>
                <w:szCs w:val="24"/>
              </w:rPr>
              <w:t>Démarrage</w:t>
            </w:r>
          </w:p>
        </w:tc>
        <w:tc>
          <w:tcPr>
            <w:tcW w:w="1559" w:type="dxa"/>
            <w:shd w:val="clear" w:color="auto" w:fill="auto"/>
            <w:noWrap/>
            <w:hideMark/>
          </w:tcPr>
          <w:p w:rsidR="006D1426" w:rsidRPr="006D1426" w:rsidRDefault="006D1426" w:rsidP="006D1426">
            <w:pPr>
              <w:spacing w:after="0" w:line="240" w:lineRule="auto"/>
              <w:rPr>
                <w:rFonts w:ascii="Times New Roman" w:hAnsi="Times New Roman"/>
                <w:b/>
                <w:sz w:val="24"/>
                <w:szCs w:val="24"/>
              </w:rPr>
            </w:pPr>
            <w:r w:rsidRPr="006D1426">
              <w:rPr>
                <w:rFonts w:ascii="Times New Roman" w:hAnsi="Times New Roman"/>
                <w:b/>
                <w:sz w:val="24"/>
                <w:szCs w:val="24"/>
              </w:rPr>
              <w:t>2018</w:t>
            </w:r>
          </w:p>
        </w:tc>
        <w:tc>
          <w:tcPr>
            <w:tcW w:w="1579" w:type="dxa"/>
            <w:shd w:val="clear" w:color="auto" w:fill="auto"/>
            <w:noWrap/>
            <w:hideMark/>
          </w:tcPr>
          <w:p w:rsidR="006D1426" w:rsidRPr="006D1426" w:rsidRDefault="006D1426" w:rsidP="006D1426">
            <w:pPr>
              <w:spacing w:after="0" w:line="240" w:lineRule="auto"/>
              <w:rPr>
                <w:rFonts w:ascii="Times New Roman" w:hAnsi="Times New Roman"/>
                <w:b/>
                <w:sz w:val="24"/>
                <w:szCs w:val="24"/>
              </w:rPr>
            </w:pPr>
            <w:r w:rsidRPr="006D1426">
              <w:rPr>
                <w:rFonts w:ascii="Times New Roman" w:hAnsi="Times New Roman"/>
                <w:b/>
                <w:sz w:val="24"/>
                <w:szCs w:val="24"/>
              </w:rPr>
              <w:t>Démarrage</w:t>
            </w:r>
          </w:p>
        </w:tc>
        <w:tc>
          <w:tcPr>
            <w:tcW w:w="1641" w:type="dxa"/>
            <w:shd w:val="clear" w:color="auto" w:fill="auto"/>
            <w:noWrap/>
            <w:hideMark/>
          </w:tcPr>
          <w:p w:rsidR="006D1426" w:rsidRPr="006D1426" w:rsidRDefault="006D1426" w:rsidP="006D1426">
            <w:pPr>
              <w:spacing w:after="0" w:line="240" w:lineRule="auto"/>
              <w:rPr>
                <w:rFonts w:ascii="Times New Roman" w:hAnsi="Times New Roman"/>
                <w:b/>
                <w:sz w:val="24"/>
                <w:szCs w:val="24"/>
              </w:rPr>
            </w:pPr>
            <w:r w:rsidRPr="006D1426">
              <w:rPr>
                <w:rFonts w:ascii="Times New Roman" w:hAnsi="Times New Roman"/>
                <w:b/>
                <w:sz w:val="24"/>
                <w:szCs w:val="24"/>
              </w:rPr>
              <w:t>2018</w:t>
            </w:r>
          </w:p>
        </w:tc>
      </w:tr>
      <w:tr w:rsidR="006D1426" w:rsidRPr="006D1426" w:rsidTr="006D1426">
        <w:trPr>
          <w:trHeight w:val="1248"/>
        </w:trPr>
        <w:tc>
          <w:tcPr>
            <w:tcW w:w="3256" w:type="dxa"/>
            <w:shd w:val="clear" w:color="auto" w:fill="auto"/>
            <w:hideMark/>
          </w:tcPr>
          <w:p w:rsidR="006D1426" w:rsidRPr="006D1426" w:rsidRDefault="006D1426" w:rsidP="006D1426">
            <w:pPr>
              <w:spacing w:after="0" w:line="240" w:lineRule="auto"/>
              <w:rPr>
                <w:rFonts w:ascii="Times New Roman" w:hAnsi="Times New Roman"/>
                <w:b/>
                <w:bCs/>
                <w:sz w:val="24"/>
                <w:szCs w:val="24"/>
              </w:rPr>
            </w:pPr>
            <w:r w:rsidRPr="006D1426">
              <w:rPr>
                <w:rFonts w:ascii="Times New Roman" w:hAnsi="Times New Roman"/>
                <w:b/>
                <w:bCs/>
                <w:sz w:val="24"/>
                <w:szCs w:val="24"/>
              </w:rPr>
              <w:t>Dépenses mensuelles totales moyennes pour la MO familiale (FCFA/mois)</w:t>
            </w:r>
          </w:p>
        </w:tc>
        <w:tc>
          <w:tcPr>
            <w:tcW w:w="1701" w:type="dxa"/>
            <w:shd w:val="clear" w:color="auto" w:fill="auto"/>
            <w:noWrap/>
            <w:hideMark/>
          </w:tcPr>
          <w:p w:rsidR="006D1426" w:rsidRPr="006D1426" w:rsidRDefault="00E17A46" w:rsidP="006D1426">
            <w:pPr>
              <w:spacing w:after="0" w:line="240" w:lineRule="auto"/>
              <w:rPr>
                <w:rFonts w:ascii="Times New Roman" w:hAnsi="Times New Roman"/>
                <w:sz w:val="24"/>
                <w:szCs w:val="24"/>
              </w:rPr>
            </w:pPr>
            <w:r>
              <w:rPr>
                <w:rFonts w:ascii="Times New Roman" w:hAnsi="Times New Roman"/>
                <w:sz w:val="24"/>
                <w:szCs w:val="24"/>
              </w:rPr>
              <w:t>2675</w:t>
            </w:r>
          </w:p>
        </w:tc>
        <w:tc>
          <w:tcPr>
            <w:tcW w:w="1559" w:type="dxa"/>
            <w:shd w:val="clear" w:color="auto" w:fill="auto"/>
            <w:noWrap/>
            <w:hideMark/>
          </w:tcPr>
          <w:p w:rsidR="006D1426" w:rsidRPr="006D1426" w:rsidRDefault="00E17A46" w:rsidP="006D1426">
            <w:pPr>
              <w:spacing w:after="0" w:line="240" w:lineRule="auto"/>
              <w:rPr>
                <w:rFonts w:ascii="Times New Roman" w:hAnsi="Times New Roman"/>
                <w:sz w:val="24"/>
                <w:szCs w:val="24"/>
              </w:rPr>
            </w:pPr>
            <w:r>
              <w:rPr>
                <w:rFonts w:ascii="Times New Roman" w:hAnsi="Times New Roman"/>
                <w:sz w:val="24"/>
                <w:szCs w:val="24"/>
              </w:rPr>
              <w:t>6949</w:t>
            </w:r>
          </w:p>
        </w:tc>
        <w:tc>
          <w:tcPr>
            <w:tcW w:w="1579" w:type="dxa"/>
            <w:shd w:val="clear" w:color="auto" w:fill="auto"/>
            <w:noWrap/>
            <w:hideMark/>
          </w:tcPr>
          <w:p w:rsidR="006D1426" w:rsidRPr="006D1426" w:rsidRDefault="00E17A46" w:rsidP="006D1426">
            <w:pPr>
              <w:spacing w:after="0" w:line="240" w:lineRule="auto"/>
              <w:rPr>
                <w:rFonts w:ascii="Times New Roman" w:hAnsi="Times New Roman"/>
                <w:sz w:val="24"/>
                <w:szCs w:val="24"/>
              </w:rPr>
            </w:pPr>
            <w:r>
              <w:rPr>
                <w:rFonts w:ascii="Times New Roman" w:hAnsi="Times New Roman"/>
                <w:sz w:val="24"/>
                <w:szCs w:val="24"/>
              </w:rPr>
              <w:t>1065</w:t>
            </w:r>
          </w:p>
        </w:tc>
        <w:tc>
          <w:tcPr>
            <w:tcW w:w="1641" w:type="dxa"/>
            <w:shd w:val="clear" w:color="auto" w:fill="auto"/>
            <w:noWrap/>
            <w:hideMark/>
          </w:tcPr>
          <w:p w:rsidR="006D1426" w:rsidRPr="006D1426" w:rsidRDefault="00E17A46" w:rsidP="006D1426">
            <w:pPr>
              <w:spacing w:after="0" w:line="240" w:lineRule="auto"/>
              <w:rPr>
                <w:rFonts w:ascii="Times New Roman" w:hAnsi="Times New Roman"/>
                <w:sz w:val="24"/>
                <w:szCs w:val="24"/>
              </w:rPr>
            </w:pPr>
            <w:r>
              <w:rPr>
                <w:rFonts w:ascii="Times New Roman" w:hAnsi="Times New Roman"/>
                <w:sz w:val="24"/>
                <w:szCs w:val="24"/>
              </w:rPr>
              <w:t>3034</w:t>
            </w:r>
          </w:p>
        </w:tc>
      </w:tr>
      <w:tr w:rsidR="006D1426" w:rsidRPr="006D1426" w:rsidTr="006D1426">
        <w:trPr>
          <w:trHeight w:val="936"/>
        </w:trPr>
        <w:tc>
          <w:tcPr>
            <w:tcW w:w="3256" w:type="dxa"/>
            <w:shd w:val="clear" w:color="auto" w:fill="auto"/>
            <w:hideMark/>
          </w:tcPr>
          <w:p w:rsidR="006D1426" w:rsidRPr="006D1426" w:rsidRDefault="006D1426" w:rsidP="006D1426">
            <w:pPr>
              <w:spacing w:after="0" w:line="240" w:lineRule="auto"/>
              <w:rPr>
                <w:rFonts w:ascii="Times New Roman" w:hAnsi="Times New Roman"/>
                <w:b/>
                <w:bCs/>
                <w:sz w:val="24"/>
                <w:szCs w:val="24"/>
              </w:rPr>
            </w:pPr>
            <w:r w:rsidRPr="006D1426">
              <w:rPr>
                <w:rFonts w:ascii="Times New Roman" w:hAnsi="Times New Roman"/>
                <w:b/>
                <w:bCs/>
                <w:sz w:val="24"/>
                <w:szCs w:val="24"/>
              </w:rPr>
              <w:t>Dépenses mensuelles totales moyennes pour la MO salariée(FCFA/mois )</w:t>
            </w:r>
          </w:p>
        </w:tc>
        <w:tc>
          <w:tcPr>
            <w:tcW w:w="1701" w:type="dxa"/>
            <w:shd w:val="clear" w:color="auto" w:fill="auto"/>
            <w:noWrap/>
            <w:hideMark/>
          </w:tcPr>
          <w:p w:rsidR="006D1426" w:rsidRPr="006D1426" w:rsidRDefault="00E17A46" w:rsidP="006D1426">
            <w:pPr>
              <w:spacing w:after="0" w:line="240" w:lineRule="auto"/>
              <w:rPr>
                <w:rFonts w:ascii="Times New Roman" w:hAnsi="Times New Roman"/>
                <w:sz w:val="24"/>
                <w:szCs w:val="24"/>
              </w:rPr>
            </w:pPr>
            <w:r>
              <w:rPr>
                <w:rFonts w:ascii="Times New Roman" w:hAnsi="Times New Roman"/>
                <w:sz w:val="24"/>
                <w:szCs w:val="24"/>
              </w:rPr>
              <w:t>1271</w:t>
            </w:r>
          </w:p>
        </w:tc>
        <w:tc>
          <w:tcPr>
            <w:tcW w:w="1559" w:type="dxa"/>
            <w:shd w:val="clear" w:color="auto" w:fill="auto"/>
            <w:noWrap/>
            <w:hideMark/>
          </w:tcPr>
          <w:p w:rsidR="006D1426" w:rsidRPr="006D1426" w:rsidRDefault="00E17A46" w:rsidP="006D1426">
            <w:pPr>
              <w:spacing w:after="0" w:line="240" w:lineRule="auto"/>
              <w:rPr>
                <w:rFonts w:ascii="Times New Roman" w:hAnsi="Times New Roman"/>
                <w:sz w:val="24"/>
                <w:szCs w:val="24"/>
              </w:rPr>
            </w:pPr>
            <w:r>
              <w:rPr>
                <w:rFonts w:ascii="Times New Roman" w:hAnsi="Times New Roman"/>
                <w:sz w:val="24"/>
                <w:szCs w:val="24"/>
              </w:rPr>
              <w:t>3897</w:t>
            </w:r>
          </w:p>
        </w:tc>
        <w:tc>
          <w:tcPr>
            <w:tcW w:w="1579" w:type="dxa"/>
            <w:shd w:val="clear" w:color="auto" w:fill="auto"/>
            <w:noWrap/>
            <w:hideMark/>
          </w:tcPr>
          <w:p w:rsidR="006D1426" w:rsidRPr="006D1426" w:rsidRDefault="00E17A46" w:rsidP="006D1426">
            <w:pPr>
              <w:spacing w:after="0" w:line="240" w:lineRule="auto"/>
              <w:rPr>
                <w:rFonts w:ascii="Times New Roman" w:hAnsi="Times New Roman"/>
                <w:sz w:val="24"/>
                <w:szCs w:val="24"/>
              </w:rPr>
            </w:pPr>
            <w:r>
              <w:rPr>
                <w:rFonts w:ascii="Times New Roman" w:hAnsi="Times New Roman"/>
                <w:sz w:val="24"/>
                <w:szCs w:val="24"/>
              </w:rPr>
              <w:t>478</w:t>
            </w:r>
          </w:p>
        </w:tc>
        <w:tc>
          <w:tcPr>
            <w:tcW w:w="1641" w:type="dxa"/>
            <w:shd w:val="clear" w:color="auto" w:fill="auto"/>
            <w:noWrap/>
            <w:hideMark/>
          </w:tcPr>
          <w:p w:rsidR="006D1426" w:rsidRPr="006D1426" w:rsidRDefault="00E17A46" w:rsidP="006D1426">
            <w:pPr>
              <w:spacing w:after="0" w:line="240" w:lineRule="auto"/>
              <w:rPr>
                <w:rFonts w:ascii="Times New Roman" w:hAnsi="Times New Roman"/>
                <w:sz w:val="24"/>
                <w:szCs w:val="24"/>
              </w:rPr>
            </w:pPr>
            <w:r>
              <w:rPr>
                <w:rFonts w:ascii="Times New Roman" w:hAnsi="Times New Roman"/>
                <w:sz w:val="24"/>
                <w:szCs w:val="24"/>
              </w:rPr>
              <w:t>1166</w:t>
            </w:r>
          </w:p>
        </w:tc>
      </w:tr>
    </w:tbl>
    <w:p w:rsidR="006D1426" w:rsidRPr="006D1426" w:rsidRDefault="006D1426" w:rsidP="006D1426">
      <w:pPr>
        <w:spacing w:after="0"/>
        <w:rPr>
          <w:rFonts w:ascii="Times New Roman" w:hAnsi="Times New Roman"/>
        </w:rPr>
      </w:pPr>
      <w:r w:rsidRPr="006D1426">
        <w:rPr>
          <w:rFonts w:ascii="Times New Roman" w:hAnsi="Times New Roman"/>
        </w:rPr>
        <w:t>Source : Données PAPA, 2018</w:t>
      </w:r>
    </w:p>
    <w:p w:rsidR="006D1426" w:rsidRPr="006D1426" w:rsidRDefault="006D1426" w:rsidP="006D1426">
      <w:pPr>
        <w:rPr>
          <w:rFonts w:ascii="Times New Roman" w:hAnsi="Times New Roman"/>
        </w:rPr>
      </w:pPr>
      <w:r w:rsidRPr="006D1426">
        <w:rPr>
          <w:rFonts w:ascii="Times New Roman" w:hAnsi="Times New Roman"/>
        </w:rPr>
        <w:t xml:space="preserve">Note : les moyennes sont des moyennes simples sur toutes les observations de l’échantillon </w:t>
      </w:r>
    </w:p>
    <w:p w:rsidR="006D1426" w:rsidRPr="006D1426" w:rsidRDefault="006D1426" w:rsidP="006D1426">
      <w:pPr>
        <w:spacing w:line="360" w:lineRule="auto"/>
        <w:jc w:val="both"/>
        <w:rPr>
          <w:rFonts w:ascii="Times New Roman" w:hAnsi="Times New Roman"/>
          <w:sz w:val="24"/>
        </w:rPr>
      </w:pPr>
      <w:r w:rsidRPr="006D1426">
        <w:rPr>
          <w:rFonts w:ascii="Times New Roman" w:hAnsi="Times New Roman"/>
          <w:sz w:val="24"/>
        </w:rPr>
        <w:lastRenderedPageBreak/>
        <w:t>Les coûts de fonctionnement hors main d’œuvre les plus importants sont ceux liés à la location</w:t>
      </w:r>
      <w:r w:rsidR="009E4E4C">
        <w:rPr>
          <w:rFonts w:ascii="Times New Roman" w:hAnsi="Times New Roman"/>
          <w:sz w:val="24"/>
        </w:rPr>
        <w:t xml:space="preserve"> de</w:t>
      </w:r>
      <w:r w:rsidR="00E17A46">
        <w:rPr>
          <w:rFonts w:ascii="Times New Roman" w:hAnsi="Times New Roman"/>
          <w:sz w:val="24"/>
        </w:rPr>
        <w:t xml:space="preserve"> l’espace de vente (tableau 18</w:t>
      </w:r>
      <w:r w:rsidRPr="006D1426">
        <w:rPr>
          <w:rFonts w:ascii="Times New Roman" w:hAnsi="Times New Roman"/>
          <w:sz w:val="24"/>
        </w:rPr>
        <w:t>). Ils ont augmenté entre le démarrage et 2018 passant de 24 630 FCFA par mois à 30 516 FCFA. Ensuite, les factures d’électricité constituent le deuxième motif de dépenses, suivis par les taxes locales payées à la commune. L’énergie est en effet un grand poste de dépense des entreprises. Aussi, malgré leur statut majoritairement informel, les entreprises de vente au détail supportent des charges fiscales au niveau local. Ces taxes sont collectées par les agents de la mairie qui vont de boutique à boutique. De façon générale, tous les coûts variables ont considérablement augmenté entre le démarrage et 2018.</w:t>
      </w:r>
    </w:p>
    <w:p w:rsidR="006D1426" w:rsidRPr="006D1426" w:rsidRDefault="00E17A46" w:rsidP="00E17A46">
      <w:pPr>
        <w:pStyle w:val="Lgende"/>
        <w:rPr>
          <w:iCs w:val="0"/>
          <w:szCs w:val="24"/>
        </w:rPr>
      </w:pPr>
      <w:bookmarkStart w:id="93" w:name="_Toc1484507"/>
      <w:bookmarkStart w:id="94" w:name="_Toc3549393"/>
      <w:bookmarkStart w:id="95" w:name="_Toc34303315"/>
      <w:r w:rsidRPr="00E17A46">
        <w:rPr>
          <w:b/>
        </w:rPr>
        <w:t xml:space="preserve">Tableau </w:t>
      </w:r>
      <w:r w:rsidRPr="00E17A46">
        <w:rPr>
          <w:b/>
        </w:rPr>
        <w:fldChar w:fldCharType="begin"/>
      </w:r>
      <w:r w:rsidRPr="00E17A46">
        <w:rPr>
          <w:b/>
        </w:rPr>
        <w:instrText xml:space="preserve"> SEQ Tableau \* ARABIC </w:instrText>
      </w:r>
      <w:r w:rsidRPr="00E17A46">
        <w:rPr>
          <w:b/>
        </w:rPr>
        <w:fldChar w:fldCharType="separate"/>
      </w:r>
      <w:r w:rsidR="00900EA8">
        <w:rPr>
          <w:b/>
          <w:noProof/>
        </w:rPr>
        <w:t>18</w:t>
      </w:r>
      <w:r w:rsidRPr="00E17A46">
        <w:rPr>
          <w:b/>
        </w:rPr>
        <w:fldChar w:fldCharType="end"/>
      </w:r>
      <w:r w:rsidR="006D1426" w:rsidRPr="006D1426">
        <w:rPr>
          <w:iCs w:val="0"/>
          <w:szCs w:val="24"/>
        </w:rPr>
        <w:t>: Montants mensuels moyens des coûts variables, hors main-d’œuvre</w:t>
      </w:r>
      <w:bookmarkEnd w:id="93"/>
      <w:bookmarkEnd w:id="94"/>
      <w:bookmarkEnd w:id="95"/>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14"/>
        <w:gridCol w:w="2132"/>
        <w:gridCol w:w="816"/>
      </w:tblGrid>
      <w:tr w:rsidR="006D1426" w:rsidRPr="006D1426" w:rsidTr="006D1426">
        <w:trPr>
          <w:trHeight w:val="288"/>
        </w:trPr>
        <w:tc>
          <w:tcPr>
            <w:tcW w:w="3140" w:type="pct"/>
            <w:shd w:val="clear" w:color="auto" w:fill="auto"/>
            <w:noWrap/>
          </w:tcPr>
          <w:p w:rsidR="006D1426" w:rsidRPr="006D1426" w:rsidRDefault="006D1426" w:rsidP="006D1426">
            <w:pPr>
              <w:spacing w:after="0" w:line="240" w:lineRule="auto"/>
              <w:rPr>
                <w:rFonts w:ascii="Times New Roman" w:hAnsi="Times New Roman"/>
                <w:sz w:val="24"/>
                <w:szCs w:val="24"/>
              </w:rPr>
            </w:pPr>
          </w:p>
        </w:tc>
        <w:tc>
          <w:tcPr>
            <w:tcW w:w="1860" w:type="pct"/>
            <w:gridSpan w:val="2"/>
            <w:shd w:val="clear" w:color="auto" w:fill="auto"/>
            <w:noWrap/>
          </w:tcPr>
          <w:p w:rsidR="006D1426" w:rsidRPr="006D1426" w:rsidRDefault="006D1426" w:rsidP="006D1426">
            <w:pPr>
              <w:spacing w:after="0" w:line="240" w:lineRule="auto"/>
              <w:jc w:val="center"/>
              <w:rPr>
                <w:rFonts w:ascii="Times New Roman" w:hAnsi="Times New Roman"/>
                <w:sz w:val="24"/>
                <w:szCs w:val="24"/>
              </w:rPr>
            </w:pPr>
            <w:r w:rsidRPr="006D1426">
              <w:rPr>
                <w:rFonts w:ascii="Times New Roman" w:hAnsi="Times New Roman"/>
                <w:sz w:val="24"/>
                <w:szCs w:val="24"/>
              </w:rPr>
              <w:t>Montant mensuel moyen</w:t>
            </w:r>
          </w:p>
        </w:tc>
      </w:tr>
      <w:tr w:rsidR="006D1426" w:rsidRPr="0037195E" w:rsidTr="006D1426">
        <w:trPr>
          <w:trHeight w:val="288"/>
        </w:trPr>
        <w:tc>
          <w:tcPr>
            <w:tcW w:w="3140" w:type="pct"/>
            <w:shd w:val="clear" w:color="auto" w:fill="auto"/>
            <w:noWrap/>
          </w:tcPr>
          <w:p w:rsidR="006D1426" w:rsidRPr="0037195E" w:rsidRDefault="006D1426" w:rsidP="006D1426">
            <w:pPr>
              <w:spacing w:after="0" w:line="240" w:lineRule="auto"/>
              <w:rPr>
                <w:rFonts w:ascii="Times New Roman" w:hAnsi="Times New Roman"/>
                <w:b/>
                <w:sz w:val="24"/>
                <w:szCs w:val="24"/>
              </w:rPr>
            </w:pPr>
            <w:r w:rsidRPr="0037195E">
              <w:rPr>
                <w:rFonts w:ascii="Times New Roman" w:hAnsi="Times New Roman"/>
                <w:b/>
                <w:sz w:val="24"/>
                <w:szCs w:val="24"/>
              </w:rPr>
              <w:t>Poste de dépenses</w:t>
            </w:r>
          </w:p>
        </w:tc>
        <w:tc>
          <w:tcPr>
            <w:tcW w:w="1396" w:type="pct"/>
            <w:shd w:val="clear" w:color="auto" w:fill="auto"/>
            <w:noWrap/>
          </w:tcPr>
          <w:p w:rsidR="006D1426" w:rsidRPr="0037195E" w:rsidRDefault="006D1426" w:rsidP="006D1426">
            <w:pPr>
              <w:spacing w:after="0" w:line="240" w:lineRule="auto"/>
              <w:rPr>
                <w:rFonts w:ascii="Times New Roman" w:hAnsi="Times New Roman"/>
                <w:b/>
                <w:sz w:val="24"/>
                <w:szCs w:val="24"/>
              </w:rPr>
            </w:pPr>
            <w:r w:rsidRPr="0037195E">
              <w:rPr>
                <w:rFonts w:ascii="Times New Roman" w:hAnsi="Times New Roman"/>
                <w:b/>
                <w:sz w:val="24"/>
                <w:szCs w:val="24"/>
              </w:rPr>
              <w:t>Démarrage</w:t>
            </w:r>
          </w:p>
        </w:tc>
        <w:tc>
          <w:tcPr>
            <w:tcW w:w="464" w:type="pct"/>
            <w:shd w:val="clear" w:color="auto" w:fill="auto"/>
            <w:noWrap/>
          </w:tcPr>
          <w:p w:rsidR="006D1426" w:rsidRPr="0037195E" w:rsidRDefault="006D1426" w:rsidP="006D1426">
            <w:pPr>
              <w:spacing w:after="0" w:line="240" w:lineRule="auto"/>
              <w:rPr>
                <w:rFonts w:ascii="Times New Roman" w:hAnsi="Times New Roman"/>
                <w:b/>
                <w:sz w:val="24"/>
                <w:szCs w:val="24"/>
              </w:rPr>
            </w:pPr>
            <w:r w:rsidRPr="0037195E">
              <w:rPr>
                <w:rFonts w:ascii="Times New Roman" w:hAnsi="Times New Roman"/>
                <w:b/>
                <w:sz w:val="24"/>
                <w:szCs w:val="24"/>
              </w:rPr>
              <w:t>2018</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Location d'espace de vente</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24630</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30516</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Remboursement prêt pour acquérir l'étal (espace de vente)</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0</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244</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Taxe locale sur l'étal payée à  la commune</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4864</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6524</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Autre impôt et taxe</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3405</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4989</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Location de terres</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258</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521</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Location d'entrepôt</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730</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1346</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Remboursement prêt pour acquérir le matériel de chargement</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256</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557</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Maintenance régulière du matériel</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87</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107</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Assurance du matériel</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5</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14</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Remboursement prêt pour acquérir le matériel de transport</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4</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4</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Maintenance régulière du matériel de transport</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86</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95</w:t>
            </w:r>
          </w:p>
        </w:tc>
      </w:tr>
      <w:tr w:rsidR="006D1426" w:rsidRPr="006D1426" w:rsidTr="006D1426">
        <w:trPr>
          <w:trHeight w:val="300"/>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Assurance du matériel de transport</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30</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71</w:t>
            </w:r>
          </w:p>
        </w:tc>
      </w:tr>
      <w:tr w:rsidR="006D1426" w:rsidRPr="006D1426" w:rsidTr="006D1426">
        <w:trPr>
          <w:trHeight w:val="307"/>
        </w:trPr>
        <w:tc>
          <w:tcPr>
            <w:tcW w:w="3140" w:type="pct"/>
            <w:shd w:val="clear" w:color="auto" w:fill="auto"/>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Facture d’eau</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877</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1109</w:t>
            </w:r>
          </w:p>
        </w:tc>
      </w:tr>
      <w:tr w:rsidR="006D1426" w:rsidRPr="006D1426" w:rsidTr="006D1426">
        <w:trPr>
          <w:trHeight w:val="425"/>
        </w:trPr>
        <w:tc>
          <w:tcPr>
            <w:tcW w:w="3140" w:type="pct"/>
            <w:shd w:val="clear" w:color="auto" w:fill="auto"/>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Facture d’électricité</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11453</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15386</w:t>
            </w:r>
          </w:p>
        </w:tc>
      </w:tr>
      <w:tr w:rsidR="006D1426" w:rsidRPr="006D1426" w:rsidTr="006D1426">
        <w:trPr>
          <w:trHeight w:val="274"/>
        </w:trPr>
        <w:tc>
          <w:tcPr>
            <w:tcW w:w="3140" w:type="pct"/>
            <w:shd w:val="clear" w:color="auto" w:fill="auto"/>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Facture d’essence</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309</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896</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Facture de gaz</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376</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471</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Téléphone et radio pour l'entreprise</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2613</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3941</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Cotisation</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98</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419</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Sacs en plastique</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220</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446</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Sacs en jute</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29</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102</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Sachets plastiques</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3654</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5684</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Sachets papiers</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172</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210</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Autre emballage</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63</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79</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Autre</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63</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82</w:t>
            </w:r>
          </w:p>
        </w:tc>
      </w:tr>
      <w:tr w:rsidR="006D1426" w:rsidRPr="006D1426" w:rsidTr="006D1426">
        <w:trPr>
          <w:trHeight w:val="288"/>
        </w:trPr>
        <w:tc>
          <w:tcPr>
            <w:tcW w:w="3140"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Total</w:t>
            </w:r>
          </w:p>
        </w:tc>
        <w:tc>
          <w:tcPr>
            <w:tcW w:w="1396"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54282</w:t>
            </w:r>
          </w:p>
        </w:tc>
        <w:tc>
          <w:tcPr>
            <w:tcW w:w="464" w:type="pct"/>
            <w:shd w:val="clear" w:color="auto" w:fill="auto"/>
            <w:noWrap/>
            <w:hideMark/>
          </w:tcPr>
          <w:p w:rsidR="006D1426" w:rsidRPr="006D1426" w:rsidRDefault="006D1426" w:rsidP="006D1426">
            <w:pPr>
              <w:spacing w:after="0" w:line="240" w:lineRule="auto"/>
              <w:rPr>
                <w:rFonts w:ascii="Times New Roman" w:hAnsi="Times New Roman"/>
                <w:sz w:val="24"/>
                <w:szCs w:val="24"/>
              </w:rPr>
            </w:pPr>
            <w:r w:rsidRPr="006D1426">
              <w:rPr>
                <w:rFonts w:ascii="Times New Roman" w:hAnsi="Times New Roman"/>
                <w:sz w:val="24"/>
                <w:szCs w:val="24"/>
              </w:rPr>
              <w:t>73812</w:t>
            </w:r>
          </w:p>
        </w:tc>
      </w:tr>
    </w:tbl>
    <w:p w:rsidR="006D1426" w:rsidRPr="006D1426" w:rsidRDefault="006D1426" w:rsidP="006D1426">
      <w:pPr>
        <w:spacing w:after="0"/>
        <w:rPr>
          <w:rFonts w:ascii="Times New Roman" w:hAnsi="Times New Roman"/>
        </w:rPr>
      </w:pPr>
      <w:r w:rsidRPr="006D1426">
        <w:rPr>
          <w:rFonts w:ascii="Times New Roman" w:hAnsi="Times New Roman"/>
        </w:rPr>
        <w:t>Source : Données PAPA, 2018</w:t>
      </w:r>
    </w:p>
    <w:p w:rsidR="006D1426" w:rsidRPr="006D1426" w:rsidRDefault="006D1426" w:rsidP="006D1426">
      <w:pPr>
        <w:rPr>
          <w:rFonts w:ascii="Times New Roman" w:hAnsi="Times New Roman"/>
        </w:rPr>
      </w:pPr>
      <w:r w:rsidRPr="006D1426">
        <w:rPr>
          <w:rFonts w:ascii="Times New Roman" w:hAnsi="Times New Roman"/>
        </w:rPr>
        <w:t xml:space="preserve">Note : les moyennes sont des moyennes simples sur toutes les observations de l’échantillon </w:t>
      </w:r>
    </w:p>
    <w:p w:rsidR="006D1426" w:rsidRPr="006D1426" w:rsidRDefault="0037195E" w:rsidP="006D1426">
      <w:pPr>
        <w:spacing w:before="12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 tableau 19</w:t>
      </w:r>
      <w:r w:rsidR="009E4E4C">
        <w:rPr>
          <w:rFonts w:ascii="Times New Roman" w:eastAsia="Calibri" w:hAnsi="Times New Roman" w:cs="Times New Roman"/>
          <w:sz w:val="24"/>
          <w:szCs w:val="24"/>
        </w:rPr>
        <w:t xml:space="preserve"> présente</w:t>
      </w:r>
      <w:r w:rsidR="006D1426" w:rsidRPr="006D1426">
        <w:rPr>
          <w:rFonts w:ascii="Times New Roman" w:eastAsia="Calibri" w:hAnsi="Times New Roman" w:cs="Times New Roman"/>
          <w:sz w:val="24"/>
          <w:szCs w:val="24"/>
        </w:rPr>
        <w:t xml:space="preserve"> la structure des principales </w:t>
      </w:r>
      <w:r w:rsidR="009E4E4C">
        <w:rPr>
          <w:rFonts w:ascii="Times New Roman" w:eastAsia="Calibri" w:hAnsi="Times New Roman" w:cs="Times New Roman"/>
          <w:sz w:val="24"/>
          <w:szCs w:val="24"/>
        </w:rPr>
        <w:t xml:space="preserve">charges </w:t>
      </w:r>
      <w:r w:rsidR="006D1426" w:rsidRPr="006D1426">
        <w:rPr>
          <w:rFonts w:ascii="Times New Roman" w:eastAsia="Calibri" w:hAnsi="Times New Roman" w:cs="Times New Roman"/>
          <w:sz w:val="24"/>
          <w:szCs w:val="24"/>
        </w:rPr>
        <w:t xml:space="preserve">des détaillants. </w:t>
      </w:r>
      <w:r w:rsidR="009E4E4C">
        <w:rPr>
          <w:rFonts w:ascii="Times New Roman" w:eastAsia="Calibri" w:hAnsi="Times New Roman" w:cs="Times New Roman"/>
          <w:sz w:val="24"/>
          <w:szCs w:val="24"/>
        </w:rPr>
        <w:t>Contrairement aux grossistes, ici c’est la location de l’espace de vente qui représente une plus grande part des charges</w:t>
      </w:r>
      <w:r w:rsidR="006D1426" w:rsidRPr="006D1426">
        <w:rPr>
          <w:rFonts w:ascii="Times New Roman" w:eastAsia="Calibri" w:hAnsi="Times New Roman" w:cs="Times New Roman"/>
          <w:sz w:val="24"/>
          <w:szCs w:val="24"/>
        </w:rPr>
        <w:t xml:space="preserve">. </w:t>
      </w:r>
      <w:r w:rsidR="009E4E4C">
        <w:rPr>
          <w:rFonts w:ascii="Times New Roman" w:eastAsia="Calibri" w:hAnsi="Times New Roman" w:cs="Times New Roman"/>
          <w:sz w:val="24"/>
          <w:szCs w:val="24"/>
        </w:rPr>
        <w:t xml:space="preserve">Ainsi, veiller au respect de la réglementation sur les tarifs des loyers pourrait permettre </w:t>
      </w:r>
      <w:r w:rsidR="009E4E4C">
        <w:rPr>
          <w:rFonts w:ascii="Times New Roman" w:eastAsia="Calibri" w:hAnsi="Times New Roman" w:cs="Times New Roman"/>
          <w:sz w:val="24"/>
          <w:szCs w:val="24"/>
        </w:rPr>
        <w:lastRenderedPageBreak/>
        <w:t>de baisser les coûts des détaillants. Comme les grossistes, l</w:t>
      </w:r>
      <w:r w:rsidR="006D1426" w:rsidRPr="006D1426">
        <w:rPr>
          <w:rFonts w:ascii="Times New Roman" w:eastAsia="Calibri" w:hAnsi="Times New Roman" w:cs="Times New Roman"/>
          <w:sz w:val="24"/>
          <w:szCs w:val="24"/>
        </w:rPr>
        <w:t>es im</w:t>
      </w:r>
      <w:r w:rsidR="009E4E4C">
        <w:rPr>
          <w:rFonts w:ascii="Times New Roman" w:eastAsia="Calibri" w:hAnsi="Times New Roman" w:cs="Times New Roman"/>
          <w:sz w:val="24"/>
          <w:szCs w:val="24"/>
        </w:rPr>
        <w:t>pôts et taxes payés par les détaillants sont non négligeables (13% des coûts</w:t>
      </w:r>
      <w:r w:rsidR="006D1426" w:rsidRPr="006D1426">
        <w:rPr>
          <w:rFonts w:ascii="Times New Roman" w:eastAsia="Calibri" w:hAnsi="Times New Roman" w:cs="Times New Roman"/>
          <w:sz w:val="24"/>
          <w:szCs w:val="24"/>
        </w:rPr>
        <w:t xml:space="preserve">). </w:t>
      </w:r>
      <w:r w:rsidR="007B63F8">
        <w:rPr>
          <w:rFonts w:ascii="Times New Roman" w:eastAsia="Calibri" w:hAnsi="Times New Roman" w:cs="Times New Roman"/>
          <w:sz w:val="24"/>
          <w:szCs w:val="24"/>
        </w:rPr>
        <w:t>Comme souligné plus haut, ceci peut décourager la formalisation des entreprises.</w:t>
      </w:r>
    </w:p>
    <w:p w:rsidR="006D1426" w:rsidRPr="006D1426" w:rsidRDefault="0037195E" w:rsidP="0037195E">
      <w:pPr>
        <w:pStyle w:val="Lgende"/>
        <w:rPr>
          <w:rFonts w:eastAsia="Calibri" w:cs="Times New Roman"/>
          <w:iCs w:val="0"/>
        </w:rPr>
      </w:pPr>
      <w:bookmarkStart w:id="96" w:name="_Toc1484518"/>
      <w:bookmarkStart w:id="97" w:name="_Toc34303316"/>
      <w:r w:rsidRPr="0037195E">
        <w:rPr>
          <w:b/>
        </w:rPr>
        <w:t xml:space="preserve">Tableau </w:t>
      </w:r>
      <w:r w:rsidRPr="0037195E">
        <w:rPr>
          <w:b/>
        </w:rPr>
        <w:fldChar w:fldCharType="begin"/>
      </w:r>
      <w:r w:rsidRPr="0037195E">
        <w:rPr>
          <w:b/>
        </w:rPr>
        <w:instrText xml:space="preserve"> SEQ Tableau \* ARABIC </w:instrText>
      </w:r>
      <w:r w:rsidRPr="0037195E">
        <w:rPr>
          <w:b/>
        </w:rPr>
        <w:fldChar w:fldCharType="separate"/>
      </w:r>
      <w:r w:rsidR="00900EA8">
        <w:rPr>
          <w:b/>
          <w:noProof/>
        </w:rPr>
        <w:t>19</w:t>
      </w:r>
      <w:r w:rsidRPr="0037195E">
        <w:rPr>
          <w:b/>
        </w:rPr>
        <w:fldChar w:fldCharType="end"/>
      </w:r>
      <w:r w:rsidR="006D1426" w:rsidRPr="006D1426">
        <w:rPr>
          <w:rFonts w:eastAsia="Calibri" w:cs="Times New Roman"/>
          <w:iCs w:val="0"/>
        </w:rPr>
        <w:t>: Structure des principales charges des détaillants</w:t>
      </w:r>
      <w:bookmarkEnd w:id="96"/>
      <w:bookmarkEnd w:id="97"/>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881"/>
        <w:gridCol w:w="3181"/>
      </w:tblGrid>
      <w:tr w:rsidR="006D1426" w:rsidRPr="006D1426" w:rsidTr="006D1426">
        <w:trPr>
          <w:trHeight w:val="288"/>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b/>
                <w:color w:val="000000"/>
                <w:sz w:val="24"/>
                <w:szCs w:val="24"/>
                <w:lang w:eastAsia="fr-FR"/>
              </w:rPr>
            </w:pPr>
            <w:r w:rsidRPr="006D1426">
              <w:rPr>
                <w:rFonts w:ascii="Times New Roman" w:eastAsia="Times New Roman" w:hAnsi="Times New Roman" w:cs="Times New Roman"/>
                <w:b/>
                <w:color w:val="000000"/>
                <w:sz w:val="24"/>
                <w:szCs w:val="24"/>
                <w:lang w:eastAsia="fr-FR"/>
              </w:rPr>
              <w:t>Poste de dépenses</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b/>
                <w:color w:val="000000"/>
                <w:sz w:val="24"/>
                <w:szCs w:val="24"/>
                <w:lang w:eastAsia="fr-FR"/>
              </w:rPr>
            </w:pPr>
            <w:r w:rsidRPr="006D1426">
              <w:rPr>
                <w:rFonts w:ascii="Times New Roman" w:eastAsia="Times New Roman" w:hAnsi="Times New Roman" w:cs="Times New Roman"/>
                <w:b/>
                <w:color w:val="000000"/>
                <w:sz w:val="24"/>
                <w:szCs w:val="24"/>
                <w:lang w:eastAsia="fr-FR"/>
              </w:rPr>
              <w:t>Part dans les coûts totaux (%)</w:t>
            </w:r>
          </w:p>
        </w:tc>
      </w:tr>
      <w:tr w:rsidR="006D1426" w:rsidRPr="006D1426" w:rsidTr="006D1426">
        <w:trPr>
          <w:trHeight w:val="300"/>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 xml:space="preserve">Main-d’œuvre </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16,9</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Location d'espace de vente</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34,3</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Remboursement prêt pour acquérir l'étal (espace de vente)</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0,3</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Impôt et taxes</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13,0</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Location de terres</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0,6</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Location d'entrepôt</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1,5</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Remboursement prêt pour acquérir le matériel de chargement</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0,6</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Maintenance régulière du matériel/transport</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0,2</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Assurance du matériel</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0,0</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Remboursement prêt pour acquérir le matériel de transport</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0,0</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Assurance du matériel de transport</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0,1</w:t>
            </w:r>
          </w:p>
        </w:tc>
      </w:tr>
      <w:tr w:rsidR="006D1426" w:rsidRPr="006D1426" w:rsidTr="006D1426">
        <w:trPr>
          <w:trHeight w:val="324"/>
        </w:trPr>
        <w:tc>
          <w:tcPr>
            <w:tcW w:w="3568" w:type="pct"/>
            <w:shd w:val="clear" w:color="auto" w:fill="auto"/>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Facture d’eau</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1,2</w:t>
            </w:r>
          </w:p>
        </w:tc>
      </w:tr>
      <w:tr w:rsidR="006D1426" w:rsidRPr="006D1426" w:rsidTr="006D1426">
        <w:trPr>
          <w:trHeight w:val="324"/>
        </w:trPr>
        <w:tc>
          <w:tcPr>
            <w:tcW w:w="3568" w:type="pct"/>
            <w:shd w:val="clear" w:color="auto" w:fill="auto"/>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Facture d’électricité</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17,3</w:t>
            </w:r>
          </w:p>
        </w:tc>
      </w:tr>
      <w:tr w:rsidR="006D1426" w:rsidRPr="006D1426" w:rsidTr="006D1426">
        <w:trPr>
          <w:trHeight w:val="324"/>
        </w:trPr>
        <w:tc>
          <w:tcPr>
            <w:tcW w:w="3568" w:type="pct"/>
            <w:shd w:val="clear" w:color="auto" w:fill="auto"/>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Facture d’essence</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1,0</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Facture de gaz</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0,5</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Téléphone et radio pour l'entreprise</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4,4</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Cotisation</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0,5</w:t>
            </w:r>
          </w:p>
        </w:tc>
      </w:tr>
      <w:tr w:rsidR="006D1426" w:rsidRPr="006D1426" w:rsidTr="006D1426">
        <w:trPr>
          <w:trHeight w:val="324"/>
        </w:trPr>
        <w:tc>
          <w:tcPr>
            <w:tcW w:w="3568"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Times New Roman" w:hAnsi="Times New Roman" w:cs="Times New Roman"/>
                <w:color w:val="000000"/>
                <w:sz w:val="24"/>
                <w:szCs w:val="24"/>
                <w:lang w:eastAsia="fr-FR"/>
              </w:rPr>
              <w:t>Emballages</w:t>
            </w:r>
          </w:p>
        </w:tc>
        <w:tc>
          <w:tcPr>
            <w:tcW w:w="1432" w:type="pct"/>
            <w:shd w:val="clear" w:color="auto" w:fill="auto"/>
            <w:noWrap/>
            <w:hideMark/>
          </w:tcPr>
          <w:p w:rsidR="006D1426" w:rsidRPr="006D1426" w:rsidRDefault="006D1426" w:rsidP="006D1426">
            <w:pPr>
              <w:spacing w:after="0" w:line="240" w:lineRule="auto"/>
              <w:rPr>
                <w:rFonts w:ascii="Times New Roman" w:eastAsia="Times New Roman" w:hAnsi="Times New Roman" w:cs="Times New Roman"/>
                <w:color w:val="000000"/>
                <w:sz w:val="24"/>
                <w:szCs w:val="24"/>
                <w:lang w:eastAsia="fr-FR"/>
              </w:rPr>
            </w:pPr>
            <w:r w:rsidRPr="006D1426">
              <w:rPr>
                <w:rFonts w:ascii="Times New Roman" w:eastAsia="Calibri" w:hAnsi="Times New Roman" w:cs="Times New Roman"/>
                <w:color w:val="000000"/>
                <w:sz w:val="24"/>
                <w:szCs w:val="24"/>
              </w:rPr>
              <w:t>7,4</w:t>
            </w:r>
          </w:p>
        </w:tc>
      </w:tr>
    </w:tbl>
    <w:p w:rsidR="006D1426" w:rsidRPr="006D1426" w:rsidRDefault="006D1426" w:rsidP="006D1426">
      <w:pPr>
        <w:spacing w:after="0" w:line="360" w:lineRule="auto"/>
        <w:jc w:val="both"/>
        <w:rPr>
          <w:rFonts w:ascii="Times New Roman" w:eastAsia="Calibri" w:hAnsi="Times New Roman" w:cs="Times New Roman"/>
        </w:rPr>
      </w:pPr>
      <w:r w:rsidRPr="006D1426">
        <w:rPr>
          <w:rFonts w:ascii="Times New Roman" w:eastAsia="Calibri" w:hAnsi="Times New Roman" w:cs="Times New Roman"/>
        </w:rPr>
        <w:t>Source : Données PAPA 2018, calculs auteurs</w:t>
      </w:r>
    </w:p>
    <w:p w:rsidR="009E4E4C" w:rsidRPr="009E4E4C" w:rsidRDefault="009E4E4C" w:rsidP="009E4E4C">
      <w:pPr>
        <w:spacing w:line="360" w:lineRule="auto"/>
        <w:jc w:val="both"/>
        <w:rPr>
          <w:rFonts w:ascii="Times New Roman" w:hAnsi="Times New Roman" w:cs="Times New Roman"/>
          <w:sz w:val="24"/>
          <w:szCs w:val="24"/>
        </w:rPr>
      </w:pPr>
      <w:r w:rsidRPr="009E4E4C">
        <w:rPr>
          <w:rFonts w:ascii="Times New Roman" w:hAnsi="Times New Roman" w:cs="Times New Roman"/>
          <w:sz w:val="24"/>
          <w:szCs w:val="24"/>
        </w:rPr>
        <w:t>Les prix moyens unitaires de vente des céréales brutes so</w:t>
      </w:r>
      <w:r w:rsidR="007B63F8">
        <w:rPr>
          <w:rFonts w:ascii="Times New Roman" w:hAnsi="Times New Roman" w:cs="Times New Roman"/>
          <w:sz w:val="24"/>
          <w:szCs w:val="24"/>
        </w:rPr>
        <w:t>n</w:t>
      </w:r>
      <w:r w:rsidR="0037195E">
        <w:rPr>
          <w:rFonts w:ascii="Times New Roman" w:hAnsi="Times New Roman" w:cs="Times New Roman"/>
          <w:sz w:val="24"/>
          <w:szCs w:val="24"/>
        </w:rPr>
        <w:t>t présentés dans le tableau 20</w:t>
      </w:r>
      <w:r w:rsidRPr="009E4E4C">
        <w:rPr>
          <w:rFonts w:ascii="Times New Roman" w:hAnsi="Times New Roman" w:cs="Times New Roman"/>
          <w:sz w:val="24"/>
          <w:szCs w:val="24"/>
        </w:rPr>
        <w:t>. L’analyse de ce tableau montre que les prix unitaires du mil, du maïs, et du sorgho son</w:t>
      </w:r>
      <w:r w:rsidR="004D68ED">
        <w:rPr>
          <w:rFonts w:ascii="Times New Roman" w:hAnsi="Times New Roman" w:cs="Times New Roman"/>
          <w:sz w:val="24"/>
          <w:szCs w:val="24"/>
        </w:rPr>
        <w:t>t</w:t>
      </w:r>
      <w:r w:rsidRPr="009E4E4C">
        <w:rPr>
          <w:rFonts w:ascii="Times New Roman" w:hAnsi="Times New Roman" w:cs="Times New Roman"/>
          <w:sz w:val="24"/>
          <w:szCs w:val="24"/>
        </w:rPr>
        <w:t xml:space="preserve"> peu différents, le maïs étant le moins cher et le sorgho plus cher. Le prix de vente du fonio</w:t>
      </w:r>
      <w:r w:rsidR="004D68ED">
        <w:rPr>
          <w:rFonts w:ascii="Times New Roman" w:hAnsi="Times New Roman" w:cs="Times New Roman"/>
          <w:sz w:val="24"/>
          <w:szCs w:val="24"/>
        </w:rPr>
        <w:t xml:space="preserve"> est presque cinq fois plus </w:t>
      </w:r>
      <w:proofErr w:type="spellStart"/>
      <w:r w:rsidR="004D68ED">
        <w:rPr>
          <w:rFonts w:ascii="Times New Roman" w:hAnsi="Times New Roman" w:cs="Times New Roman"/>
          <w:sz w:val="24"/>
          <w:szCs w:val="24"/>
        </w:rPr>
        <w:t>élev</w:t>
      </w:r>
      <w:proofErr w:type="spellEnd"/>
      <w:r w:rsidR="004D68ED">
        <w:rPr>
          <w:rFonts w:ascii="Times New Roman" w:hAnsi="Times New Roman" w:cs="Times New Roman"/>
          <w:sz w:val="24"/>
          <w:szCs w:val="24"/>
        </w:rPr>
        <w:t> »</w:t>
      </w:r>
      <w:r w:rsidRPr="009E4E4C">
        <w:rPr>
          <w:rFonts w:ascii="Times New Roman" w:hAnsi="Times New Roman" w:cs="Times New Roman"/>
          <w:sz w:val="24"/>
          <w:szCs w:val="24"/>
        </w:rPr>
        <w:t xml:space="preserve"> que celui des autres céréales (1046 FCFA/kg). Cet écart peut s’expliquer par la rareté du produit et la pénibilité du décorticage.</w:t>
      </w:r>
      <w:r w:rsidR="007B63F8">
        <w:rPr>
          <w:rFonts w:ascii="Times New Roman" w:hAnsi="Times New Roman" w:cs="Times New Roman"/>
          <w:sz w:val="24"/>
          <w:szCs w:val="24"/>
        </w:rPr>
        <w:t xml:space="preserve"> Le classement des prix est donc le même que chez les grossistes. En effet, il y a très peu ou presque pas de valeur ajoutée par le détaillant une fois qu’il se procure le produit.</w:t>
      </w:r>
    </w:p>
    <w:p w:rsidR="009E4E4C" w:rsidRPr="009E4E4C" w:rsidRDefault="009E4E4C" w:rsidP="009E4E4C">
      <w:pPr>
        <w:spacing w:line="360" w:lineRule="auto"/>
        <w:jc w:val="both"/>
        <w:rPr>
          <w:rFonts w:ascii="Times New Roman" w:hAnsi="Times New Roman" w:cs="Times New Roman"/>
          <w:sz w:val="24"/>
          <w:szCs w:val="24"/>
        </w:rPr>
      </w:pPr>
      <w:r w:rsidRPr="009E4E4C">
        <w:rPr>
          <w:rFonts w:ascii="Times New Roman" w:hAnsi="Times New Roman" w:cs="Times New Roman"/>
          <w:color w:val="000000"/>
          <w:sz w:val="24"/>
          <w:szCs w:val="24"/>
        </w:rPr>
        <w:t>La fixation de</w:t>
      </w:r>
      <w:r w:rsidR="007B63F8">
        <w:rPr>
          <w:rFonts w:ascii="Times New Roman" w:hAnsi="Times New Roman" w:cs="Times New Roman"/>
          <w:color w:val="000000"/>
          <w:sz w:val="24"/>
          <w:szCs w:val="24"/>
        </w:rPr>
        <w:t>s</w:t>
      </w:r>
      <w:r w:rsidRPr="009E4E4C">
        <w:rPr>
          <w:rFonts w:ascii="Times New Roman" w:hAnsi="Times New Roman" w:cs="Times New Roman"/>
          <w:color w:val="000000"/>
          <w:sz w:val="24"/>
          <w:szCs w:val="24"/>
        </w:rPr>
        <w:t xml:space="preserve"> prix dépend des charges supportées par les détaillants qui, en plus, de celle</w:t>
      </w:r>
      <w:r w:rsidR="004D68ED">
        <w:rPr>
          <w:rFonts w:ascii="Times New Roman" w:hAnsi="Times New Roman" w:cs="Times New Roman"/>
          <w:color w:val="000000"/>
          <w:sz w:val="24"/>
          <w:szCs w:val="24"/>
        </w:rPr>
        <w:t>s présentées dans le tableau 18</w:t>
      </w:r>
      <w:r w:rsidRPr="009E4E4C">
        <w:rPr>
          <w:rFonts w:ascii="Times New Roman" w:hAnsi="Times New Roman" w:cs="Times New Roman"/>
          <w:color w:val="000000"/>
          <w:sz w:val="24"/>
          <w:szCs w:val="24"/>
        </w:rPr>
        <w:t xml:space="preserve">, comprennent les frais de transport et de manutention. Le coût de transport est évalué à environ 6 FCFA/kg. Les charges de manutention sont de 100 FCA le </w:t>
      </w:r>
      <w:r w:rsidR="007B63F8">
        <w:rPr>
          <w:rFonts w:ascii="Times New Roman" w:hAnsi="Times New Roman" w:cs="Times New Roman"/>
          <w:color w:val="000000"/>
          <w:sz w:val="24"/>
          <w:szCs w:val="24"/>
        </w:rPr>
        <w:t>sac de 100 kg (</w:t>
      </w:r>
      <w:proofErr w:type="spellStart"/>
      <w:r w:rsidR="007B63F8">
        <w:rPr>
          <w:rFonts w:ascii="Times New Roman" w:hAnsi="Times New Roman" w:cs="Times New Roman"/>
          <w:color w:val="000000"/>
          <w:sz w:val="24"/>
          <w:szCs w:val="24"/>
        </w:rPr>
        <w:t>Fall</w:t>
      </w:r>
      <w:proofErr w:type="spellEnd"/>
      <w:r w:rsidR="007B63F8">
        <w:rPr>
          <w:rFonts w:ascii="Times New Roman" w:hAnsi="Times New Roman" w:cs="Times New Roman"/>
          <w:color w:val="000000"/>
          <w:sz w:val="24"/>
          <w:szCs w:val="24"/>
        </w:rPr>
        <w:t xml:space="preserve"> et al., 2009</w:t>
      </w:r>
      <w:r w:rsidRPr="009E4E4C">
        <w:rPr>
          <w:rFonts w:ascii="Times New Roman" w:hAnsi="Times New Roman" w:cs="Times New Roman"/>
          <w:color w:val="000000"/>
          <w:sz w:val="24"/>
          <w:szCs w:val="24"/>
        </w:rPr>
        <w:t>).</w:t>
      </w:r>
    </w:p>
    <w:p w:rsidR="007B63F8" w:rsidRDefault="004D68ED" w:rsidP="004D68ED">
      <w:pPr>
        <w:pStyle w:val="Lgende"/>
      </w:pPr>
      <w:bookmarkStart w:id="98" w:name="_Toc34303317"/>
      <w:r w:rsidRPr="004D68ED">
        <w:rPr>
          <w:b/>
        </w:rPr>
        <w:lastRenderedPageBreak/>
        <w:t xml:space="preserve">Tableau </w:t>
      </w:r>
      <w:r w:rsidRPr="004D68ED">
        <w:rPr>
          <w:b/>
        </w:rPr>
        <w:fldChar w:fldCharType="begin"/>
      </w:r>
      <w:r w:rsidRPr="004D68ED">
        <w:rPr>
          <w:b/>
        </w:rPr>
        <w:instrText xml:space="preserve"> SEQ Tableau \* ARABIC </w:instrText>
      </w:r>
      <w:r w:rsidRPr="004D68ED">
        <w:rPr>
          <w:b/>
        </w:rPr>
        <w:fldChar w:fldCharType="separate"/>
      </w:r>
      <w:r w:rsidR="00900EA8">
        <w:rPr>
          <w:b/>
          <w:noProof/>
        </w:rPr>
        <w:t>20</w:t>
      </w:r>
      <w:r w:rsidRPr="004D68ED">
        <w:rPr>
          <w:b/>
        </w:rPr>
        <w:fldChar w:fldCharType="end"/>
      </w:r>
      <w:r w:rsidR="007B63F8">
        <w:t>:</w:t>
      </w:r>
      <w:r w:rsidR="007B63F8" w:rsidRPr="007B63F8">
        <w:rPr>
          <w:szCs w:val="24"/>
        </w:rPr>
        <w:t xml:space="preserve"> </w:t>
      </w:r>
      <w:r w:rsidR="007B63F8" w:rsidRPr="009E4E4C">
        <w:rPr>
          <w:szCs w:val="24"/>
        </w:rPr>
        <w:t>Prix moyens de vente des céréales</w:t>
      </w:r>
      <w:r w:rsidR="007B63F8">
        <w:rPr>
          <w:szCs w:val="24"/>
        </w:rPr>
        <w:t xml:space="preserve"> par les détaillants</w:t>
      </w:r>
      <w:r w:rsidR="007B63F8" w:rsidRPr="009E4E4C">
        <w:rPr>
          <w:szCs w:val="24"/>
        </w:rPr>
        <w:t xml:space="preserve"> </w:t>
      </w:r>
      <w:r w:rsidR="007B63F8">
        <w:rPr>
          <w:szCs w:val="24"/>
        </w:rPr>
        <w:t>(</w:t>
      </w:r>
      <w:r w:rsidR="007B63F8" w:rsidRPr="009E4E4C">
        <w:rPr>
          <w:szCs w:val="24"/>
        </w:rPr>
        <w:t>FCFA/kg</w:t>
      </w:r>
      <w:r w:rsidR="007B63F8">
        <w:rPr>
          <w:szCs w:val="24"/>
        </w:rPr>
        <w:t>)</w:t>
      </w:r>
      <w:bookmarkEnd w:id="98"/>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393"/>
        <w:gridCol w:w="4669"/>
      </w:tblGrid>
      <w:tr w:rsidR="009E4E4C" w:rsidRPr="009E4E4C" w:rsidTr="00F858E3">
        <w:trPr>
          <w:trHeight w:val="460"/>
        </w:trPr>
        <w:tc>
          <w:tcPr>
            <w:tcW w:w="2424" w:type="pct"/>
            <w:shd w:val="clear" w:color="auto" w:fill="auto"/>
            <w:noWrap/>
            <w:hideMark/>
          </w:tcPr>
          <w:p w:rsidR="009E4E4C" w:rsidRPr="009E4E4C" w:rsidRDefault="009E4E4C" w:rsidP="009E4E4C">
            <w:pPr>
              <w:spacing w:after="0" w:line="240" w:lineRule="auto"/>
              <w:rPr>
                <w:rFonts w:ascii="Times New Roman" w:eastAsia="Times New Roman" w:hAnsi="Times New Roman"/>
                <w:b/>
                <w:bCs/>
                <w:sz w:val="24"/>
                <w:szCs w:val="24"/>
                <w:lang w:eastAsia="fr-FR"/>
              </w:rPr>
            </w:pPr>
            <w:r w:rsidRPr="009E4E4C">
              <w:rPr>
                <w:rFonts w:ascii="Times New Roman" w:eastAsia="Times New Roman" w:hAnsi="Times New Roman"/>
                <w:b/>
                <w:bCs/>
                <w:color w:val="000000"/>
                <w:lang w:eastAsia="fr-FR"/>
              </w:rPr>
              <w:t>Céréales</w:t>
            </w:r>
          </w:p>
        </w:tc>
        <w:tc>
          <w:tcPr>
            <w:tcW w:w="2576" w:type="pct"/>
            <w:shd w:val="clear" w:color="auto" w:fill="auto"/>
            <w:noWrap/>
            <w:hideMark/>
          </w:tcPr>
          <w:p w:rsidR="009E4E4C" w:rsidRPr="009E4E4C" w:rsidRDefault="009E4E4C" w:rsidP="009E4E4C">
            <w:pPr>
              <w:spacing w:after="0" w:line="240" w:lineRule="auto"/>
              <w:rPr>
                <w:rFonts w:ascii="Times New Roman" w:eastAsia="Times New Roman" w:hAnsi="Times New Roman"/>
                <w:b/>
                <w:bCs/>
                <w:color w:val="000000"/>
                <w:lang w:eastAsia="fr-FR"/>
              </w:rPr>
            </w:pPr>
            <w:r w:rsidRPr="009E4E4C">
              <w:rPr>
                <w:rFonts w:ascii="Times New Roman" w:eastAsia="Times New Roman" w:hAnsi="Times New Roman"/>
                <w:b/>
                <w:bCs/>
                <w:color w:val="000000"/>
                <w:lang w:eastAsia="fr-FR"/>
              </w:rPr>
              <w:t xml:space="preserve">Prix moyen (FCFA/kg) </w:t>
            </w:r>
          </w:p>
        </w:tc>
      </w:tr>
      <w:tr w:rsidR="009E4E4C" w:rsidRPr="009E4E4C" w:rsidTr="00F858E3">
        <w:trPr>
          <w:trHeight w:val="460"/>
        </w:trPr>
        <w:tc>
          <w:tcPr>
            <w:tcW w:w="2424" w:type="pct"/>
            <w:shd w:val="clear" w:color="auto" w:fill="auto"/>
            <w:noWrap/>
            <w:hideMark/>
          </w:tcPr>
          <w:p w:rsidR="009E4E4C" w:rsidRPr="009E4E4C" w:rsidRDefault="009E4E4C" w:rsidP="009E4E4C">
            <w:pPr>
              <w:spacing w:after="0" w:line="240" w:lineRule="auto"/>
              <w:rPr>
                <w:rFonts w:ascii="Times New Roman" w:eastAsia="Times New Roman" w:hAnsi="Times New Roman"/>
                <w:b/>
                <w:bCs/>
                <w:color w:val="000000"/>
                <w:lang w:eastAsia="fr-FR"/>
              </w:rPr>
            </w:pPr>
            <w:r w:rsidRPr="009E4E4C">
              <w:rPr>
                <w:rFonts w:ascii="Times New Roman" w:eastAsia="Times New Roman" w:hAnsi="Times New Roman"/>
                <w:b/>
                <w:bCs/>
                <w:color w:val="000000"/>
                <w:lang w:eastAsia="fr-FR"/>
              </w:rPr>
              <w:t>Mil</w:t>
            </w:r>
          </w:p>
        </w:tc>
        <w:tc>
          <w:tcPr>
            <w:tcW w:w="2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E4C" w:rsidRPr="009E4E4C" w:rsidRDefault="009E4E4C" w:rsidP="009E4E4C">
            <w:pPr>
              <w:spacing w:after="0" w:line="240" w:lineRule="auto"/>
              <w:rPr>
                <w:rFonts w:ascii="Times New Roman" w:eastAsia="Times New Roman" w:hAnsi="Times New Roman"/>
                <w:color w:val="000000"/>
                <w:lang w:eastAsia="fr-FR"/>
              </w:rPr>
            </w:pPr>
            <w:r w:rsidRPr="009E4E4C">
              <w:rPr>
                <w:rFonts w:ascii="Times New Roman" w:eastAsia="Times New Roman" w:hAnsi="Times New Roman"/>
                <w:color w:val="000000"/>
                <w:lang w:eastAsia="fr-FR"/>
              </w:rPr>
              <w:t>252</w:t>
            </w:r>
          </w:p>
        </w:tc>
      </w:tr>
      <w:tr w:rsidR="009E4E4C" w:rsidRPr="009E4E4C" w:rsidTr="00F858E3">
        <w:trPr>
          <w:trHeight w:val="460"/>
        </w:trPr>
        <w:tc>
          <w:tcPr>
            <w:tcW w:w="2424" w:type="pct"/>
            <w:shd w:val="clear" w:color="auto" w:fill="auto"/>
            <w:noWrap/>
            <w:hideMark/>
          </w:tcPr>
          <w:p w:rsidR="009E4E4C" w:rsidRPr="009E4E4C" w:rsidRDefault="009E4E4C" w:rsidP="009E4E4C">
            <w:pPr>
              <w:spacing w:after="0" w:line="240" w:lineRule="auto"/>
              <w:rPr>
                <w:rFonts w:ascii="Times New Roman" w:eastAsia="Times New Roman" w:hAnsi="Times New Roman"/>
                <w:b/>
                <w:bCs/>
                <w:color w:val="000000"/>
                <w:lang w:eastAsia="fr-FR"/>
              </w:rPr>
            </w:pPr>
            <w:r w:rsidRPr="009E4E4C">
              <w:rPr>
                <w:rFonts w:ascii="Times New Roman" w:eastAsia="Times New Roman" w:hAnsi="Times New Roman"/>
                <w:b/>
                <w:bCs/>
                <w:color w:val="000000"/>
                <w:lang w:eastAsia="fr-FR"/>
              </w:rPr>
              <w:t>Sorgho</w:t>
            </w:r>
          </w:p>
        </w:tc>
        <w:tc>
          <w:tcPr>
            <w:tcW w:w="2576" w:type="pct"/>
            <w:tcBorders>
              <w:top w:val="nil"/>
              <w:left w:val="single" w:sz="4" w:space="0" w:color="auto"/>
              <w:bottom w:val="single" w:sz="4" w:space="0" w:color="auto"/>
              <w:right w:val="single" w:sz="4" w:space="0" w:color="auto"/>
            </w:tcBorders>
            <w:shd w:val="clear" w:color="auto" w:fill="auto"/>
            <w:noWrap/>
            <w:vAlign w:val="bottom"/>
            <w:hideMark/>
          </w:tcPr>
          <w:p w:rsidR="009E4E4C" w:rsidRPr="009E4E4C" w:rsidRDefault="009E4E4C" w:rsidP="009E4E4C">
            <w:pPr>
              <w:spacing w:after="0" w:line="240" w:lineRule="auto"/>
              <w:rPr>
                <w:rFonts w:ascii="Times New Roman" w:eastAsia="Times New Roman" w:hAnsi="Times New Roman"/>
                <w:color w:val="000000"/>
                <w:lang w:eastAsia="fr-FR"/>
              </w:rPr>
            </w:pPr>
            <w:r w:rsidRPr="009E4E4C">
              <w:rPr>
                <w:rFonts w:ascii="Times New Roman" w:eastAsia="Times New Roman" w:hAnsi="Times New Roman"/>
                <w:color w:val="000000"/>
                <w:lang w:eastAsia="fr-FR"/>
              </w:rPr>
              <w:t>276</w:t>
            </w:r>
          </w:p>
        </w:tc>
      </w:tr>
      <w:tr w:rsidR="009E4E4C" w:rsidRPr="009E4E4C" w:rsidTr="00F858E3">
        <w:trPr>
          <w:trHeight w:val="460"/>
        </w:trPr>
        <w:tc>
          <w:tcPr>
            <w:tcW w:w="2424" w:type="pct"/>
            <w:shd w:val="clear" w:color="auto" w:fill="auto"/>
            <w:noWrap/>
            <w:hideMark/>
          </w:tcPr>
          <w:p w:rsidR="009E4E4C" w:rsidRPr="009E4E4C" w:rsidRDefault="009E4E4C" w:rsidP="009E4E4C">
            <w:pPr>
              <w:spacing w:after="0" w:line="240" w:lineRule="auto"/>
              <w:rPr>
                <w:rFonts w:ascii="Times New Roman" w:eastAsia="Times New Roman" w:hAnsi="Times New Roman"/>
                <w:b/>
                <w:bCs/>
                <w:color w:val="000000"/>
                <w:lang w:eastAsia="fr-FR"/>
              </w:rPr>
            </w:pPr>
            <w:r w:rsidRPr="009E4E4C">
              <w:rPr>
                <w:rFonts w:ascii="Times New Roman" w:eastAsia="Times New Roman" w:hAnsi="Times New Roman"/>
                <w:b/>
                <w:bCs/>
                <w:color w:val="000000"/>
                <w:lang w:eastAsia="fr-FR"/>
              </w:rPr>
              <w:t>Mais</w:t>
            </w:r>
          </w:p>
        </w:tc>
        <w:tc>
          <w:tcPr>
            <w:tcW w:w="2576" w:type="pct"/>
            <w:tcBorders>
              <w:top w:val="nil"/>
              <w:left w:val="single" w:sz="4" w:space="0" w:color="auto"/>
              <w:bottom w:val="single" w:sz="4" w:space="0" w:color="auto"/>
              <w:right w:val="single" w:sz="4" w:space="0" w:color="auto"/>
            </w:tcBorders>
            <w:shd w:val="clear" w:color="auto" w:fill="auto"/>
            <w:noWrap/>
            <w:vAlign w:val="bottom"/>
            <w:hideMark/>
          </w:tcPr>
          <w:p w:rsidR="009E4E4C" w:rsidRPr="009E4E4C" w:rsidRDefault="009E4E4C" w:rsidP="009E4E4C">
            <w:pPr>
              <w:spacing w:after="0" w:line="240" w:lineRule="auto"/>
              <w:rPr>
                <w:rFonts w:ascii="Times New Roman" w:eastAsia="Times New Roman" w:hAnsi="Times New Roman"/>
                <w:color w:val="000000"/>
                <w:lang w:eastAsia="fr-FR"/>
              </w:rPr>
            </w:pPr>
            <w:r w:rsidRPr="009E4E4C">
              <w:rPr>
                <w:rFonts w:ascii="Times New Roman" w:eastAsia="Times New Roman" w:hAnsi="Times New Roman"/>
                <w:color w:val="000000"/>
                <w:lang w:eastAsia="fr-FR"/>
              </w:rPr>
              <w:t>236</w:t>
            </w:r>
          </w:p>
        </w:tc>
      </w:tr>
      <w:tr w:rsidR="009E4E4C" w:rsidRPr="009E4E4C" w:rsidTr="00F858E3">
        <w:trPr>
          <w:trHeight w:val="460"/>
        </w:trPr>
        <w:tc>
          <w:tcPr>
            <w:tcW w:w="2424" w:type="pct"/>
            <w:shd w:val="clear" w:color="auto" w:fill="auto"/>
            <w:noWrap/>
            <w:hideMark/>
          </w:tcPr>
          <w:p w:rsidR="009E4E4C" w:rsidRPr="009E4E4C" w:rsidRDefault="009E4E4C" w:rsidP="009E4E4C">
            <w:pPr>
              <w:spacing w:after="0" w:line="240" w:lineRule="auto"/>
              <w:rPr>
                <w:rFonts w:ascii="Times New Roman" w:eastAsia="Times New Roman" w:hAnsi="Times New Roman"/>
                <w:b/>
                <w:bCs/>
                <w:color w:val="000000"/>
                <w:lang w:eastAsia="fr-FR"/>
              </w:rPr>
            </w:pPr>
            <w:r w:rsidRPr="009E4E4C">
              <w:rPr>
                <w:rFonts w:ascii="Times New Roman" w:eastAsia="Times New Roman" w:hAnsi="Times New Roman"/>
                <w:b/>
                <w:bCs/>
                <w:color w:val="000000"/>
                <w:lang w:eastAsia="fr-FR"/>
              </w:rPr>
              <w:t>Fonio</w:t>
            </w:r>
          </w:p>
        </w:tc>
        <w:tc>
          <w:tcPr>
            <w:tcW w:w="2576" w:type="pct"/>
            <w:tcBorders>
              <w:top w:val="nil"/>
              <w:left w:val="single" w:sz="4" w:space="0" w:color="auto"/>
              <w:bottom w:val="single" w:sz="4" w:space="0" w:color="auto"/>
              <w:right w:val="single" w:sz="4" w:space="0" w:color="auto"/>
            </w:tcBorders>
            <w:shd w:val="clear" w:color="auto" w:fill="auto"/>
            <w:noWrap/>
            <w:vAlign w:val="bottom"/>
            <w:hideMark/>
          </w:tcPr>
          <w:p w:rsidR="009E4E4C" w:rsidRPr="009E4E4C" w:rsidRDefault="009E4E4C" w:rsidP="009E4E4C">
            <w:pPr>
              <w:spacing w:after="0" w:line="240" w:lineRule="auto"/>
              <w:rPr>
                <w:rFonts w:ascii="Times New Roman" w:eastAsia="Times New Roman" w:hAnsi="Times New Roman"/>
                <w:color w:val="000000"/>
                <w:lang w:eastAsia="fr-FR"/>
              </w:rPr>
            </w:pPr>
            <w:r w:rsidRPr="009E4E4C">
              <w:rPr>
                <w:rFonts w:ascii="Times New Roman" w:eastAsia="Times New Roman" w:hAnsi="Times New Roman"/>
                <w:color w:val="000000"/>
                <w:lang w:eastAsia="fr-FR"/>
              </w:rPr>
              <w:t>1046</w:t>
            </w:r>
          </w:p>
        </w:tc>
      </w:tr>
    </w:tbl>
    <w:p w:rsidR="009E4E4C" w:rsidRPr="009E4E4C" w:rsidRDefault="009E4E4C" w:rsidP="009E4E4C">
      <w:pPr>
        <w:spacing w:after="0"/>
        <w:rPr>
          <w:rFonts w:ascii="Times New Roman" w:hAnsi="Times New Roman"/>
        </w:rPr>
      </w:pPr>
      <w:r w:rsidRPr="009E4E4C">
        <w:rPr>
          <w:rFonts w:ascii="Times New Roman" w:hAnsi="Times New Roman"/>
        </w:rPr>
        <w:t>Source : Données PAPA, 2018</w:t>
      </w:r>
    </w:p>
    <w:p w:rsidR="009E4E4C" w:rsidRPr="009E4E4C" w:rsidRDefault="009E4E4C" w:rsidP="009E4E4C">
      <w:pPr>
        <w:spacing w:before="120" w:after="120" w:line="360" w:lineRule="auto"/>
        <w:jc w:val="both"/>
        <w:rPr>
          <w:rFonts w:ascii="Times New Roman" w:hAnsi="Times New Roman"/>
          <w:sz w:val="24"/>
        </w:rPr>
      </w:pPr>
      <w:r w:rsidRPr="009E4E4C">
        <w:rPr>
          <w:rFonts w:ascii="Times New Roman" w:hAnsi="Times New Roman"/>
          <w:sz w:val="24"/>
        </w:rPr>
        <w:t xml:space="preserve">Le </w:t>
      </w:r>
      <w:r w:rsidR="004D68ED">
        <w:rPr>
          <w:rFonts w:ascii="Times New Roman" w:hAnsi="Times New Roman"/>
          <w:sz w:val="24"/>
        </w:rPr>
        <w:t>tableau 21</w:t>
      </w:r>
      <w:r w:rsidRPr="009E4E4C">
        <w:rPr>
          <w:rFonts w:ascii="Times New Roman" w:hAnsi="Times New Roman"/>
          <w:sz w:val="24"/>
        </w:rPr>
        <w:t xml:space="preserve"> montre le niveau de concurrence et/ou de collaboration entre les détaillants de céréales. Les résultats montrent que la majorité des entreprises ne collaborent pas entre elles. Environ 16% des détaillants partagent des informations sur les modalités de vente avec d’autres entreprises de la localité alors que seulement 7% d’entre eux partagent des équipements. Ces proportions sont restées les mêmes entre le démarrage et 2018. L’absence de partage de matériels et de main-d’œuvre peut être due à un sous-équipement des entreprises de façon générale.</w:t>
      </w:r>
    </w:p>
    <w:p w:rsidR="009E4E4C" w:rsidRPr="009E4E4C" w:rsidRDefault="004D68ED" w:rsidP="004D68ED">
      <w:pPr>
        <w:pStyle w:val="Lgende"/>
        <w:rPr>
          <w:iCs w:val="0"/>
          <w:szCs w:val="24"/>
        </w:rPr>
      </w:pPr>
      <w:bookmarkStart w:id="99" w:name="_Toc1484510"/>
      <w:bookmarkStart w:id="100" w:name="_Toc3549404"/>
      <w:bookmarkStart w:id="101" w:name="_Toc34303318"/>
      <w:r w:rsidRPr="004D68ED">
        <w:rPr>
          <w:b/>
        </w:rPr>
        <w:t xml:space="preserve">Tableau </w:t>
      </w:r>
      <w:r w:rsidRPr="004D68ED">
        <w:rPr>
          <w:b/>
        </w:rPr>
        <w:fldChar w:fldCharType="begin"/>
      </w:r>
      <w:r w:rsidRPr="004D68ED">
        <w:rPr>
          <w:b/>
        </w:rPr>
        <w:instrText xml:space="preserve"> SEQ Tableau \* ARABIC </w:instrText>
      </w:r>
      <w:r w:rsidRPr="004D68ED">
        <w:rPr>
          <w:b/>
        </w:rPr>
        <w:fldChar w:fldCharType="separate"/>
      </w:r>
      <w:r w:rsidR="00900EA8">
        <w:rPr>
          <w:b/>
          <w:noProof/>
        </w:rPr>
        <w:t>21</w:t>
      </w:r>
      <w:r w:rsidRPr="004D68ED">
        <w:rPr>
          <w:b/>
        </w:rPr>
        <w:fldChar w:fldCharType="end"/>
      </w:r>
      <w:r w:rsidR="009E4E4C" w:rsidRPr="009E4E4C">
        <w:rPr>
          <w:iCs w:val="0"/>
          <w:szCs w:val="24"/>
        </w:rPr>
        <w:t>: Niveau de concurrence entre détaillants de céréales</w:t>
      </w:r>
      <w:bookmarkEnd w:id="99"/>
      <w:bookmarkEnd w:id="100"/>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7"/>
        <w:gridCol w:w="1336"/>
        <w:gridCol w:w="1134"/>
      </w:tblGrid>
      <w:tr w:rsidR="009E4E4C" w:rsidRPr="009E4E4C" w:rsidTr="00900EA8">
        <w:trPr>
          <w:trHeight w:val="315"/>
        </w:trPr>
        <w:tc>
          <w:tcPr>
            <w:tcW w:w="3637" w:type="pct"/>
            <w:shd w:val="clear" w:color="auto" w:fill="auto"/>
            <w:hideMark/>
          </w:tcPr>
          <w:p w:rsidR="009E4E4C" w:rsidRPr="009E4E4C" w:rsidRDefault="009E4E4C" w:rsidP="009E4E4C">
            <w:pPr>
              <w:spacing w:after="0" w:line="240" w:lineRule="auto"/>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t> </w:t>
            </w:r>
          </w:p>
        </w:tc>
        <w:tc>
          <w:tcPr>
            <w:tcW w:w="1363" w:type="pct"/>
            <w:gridSpan w:val="2"/>
            <w:shd w:val="clear" w:color="auto" w:fill="auto"/>
            <w:hideMark/>
          </w:tcPr>
          <w:p w:rsidR="009E4E4C" w:rsidRPr="009E4E4C" w:rsidRDefault="009E4E4C" w:rsidP="009E4E4C">
            <w:pPr>
              <w:spacing w:after="0" w:line="240" w:lineRule="auto"/>
              <w:jc w:val="center"/>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t>Détaillants</w:t>
            </w:r>
          </w:p>
        </w:tc>
      </w:tr>
      <w:tr w:rsidR="009E4E4C" w:rsidRPr="009E4E4C" w:rsidTr="00900EA8">
        <w:trPr>
          <w:trHeight w:val="630"/>
        </w:trPr>
        <w:tc>
          <w:tcPr>
            <w:tcW w:w="3637" w:type="pct"/>
            <w:shd w:val="clear" w:color="auto" w:fill="auto"/>
            <w:hideMark/>
          </w:tcPr>
          <w:p w:rsidR="009E4E4C" w:rsidRPr="009E4E4C" w:rsidRDefault="009E4E4C" w:rsidP="009E4E4C">
            <w:pPr>
              <w:spacing w:after="0" w:line="240" w:lineRule="auto"/>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t> </w:t>
            </w:r>
          </w:p>
        </w:tc>
        <w:tc>
          <w:tcPr>
            <w:tcW w:w="737" w:type="pct"/>
            <w:shd w:val="clear" w:color="auto" w:fill="auto"/>
            <w:hideMark/>
          </w:tcPr>
          <w:p w:rsidR="009E4E4C" w:rsidRPr="009E4E4C" w:rsidRDefault="009E4E4C" w:rsidP="009E4E4C">
            <w:pPr>
              <w:spacing w:after="0" w:line="240" w:lineRule="auto"/>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t>Année de démarrage</w:t>
            </w:r>
          </w:p>
        </w:tc>
        <w:tc>
          <w:tcPr>
            <w:tcW w:w="626" w:type="pct"/>
            <w:shd w:val="clear" w:color="auto" w:fill="auto"/>
            <w:hideMark/>
          </w:tcPr>
          <w:p w:rsidR="009E4E4C" w:rsidRPr="009E4E4C" w:rsidRDefault="009E4E4C" w:rsidP="009E4E4C">
            <w:pPr>
              <w:spacing w:after="0" w:line="240" w:lineRule="auto"/>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t>2018</w:t>
            </w:r>
          </w:p>
        </w:tc>
      </w:tr>
      <w:tr w:rsidR="009E4E4C" w:rsidRPr="009E4E4C" w:rsidTr="00900EA8">
        <w:trPr>
          <w:trHeight w:val="315"/>
        </w:trPr>
        <w:tc>
          <w:tcPr>
            <w:tcW w:w="3637" w:type="pct"/>
            <w:shd w:val="clear" w:color="auto" w:fill="auto"/>
            <w:hideMark/>
          </w:tcPr>
          <w:p w:rsidR="009E4E4C" w:rsidRPr="009E4E4C" w:rsidRDefault="009E4E4C" w:rsidP="009E4E4C">
            <w:pPr>
              <w:spacing w:after="0" w:line="240" w:lineRule="auto"/>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t xml:space="preserve">Partage avec d'autres entreprises de la même localité </w:t>
            </w:r>
          </w:p>
        </w:tc>
        <w:tc>
          <w:tcPr>
            <w:tcW w:w="737" w:type="pct"/>
            <w:shd w:val="clear" w:color="auto" w:fill="auto"/>
            <w:hideMark/>
          </w:tcPr>
          <w:p w:rsidR="009E4E4C" w:rsidRPr="009E4E4C" w:rsidRDefault="009E4E4C" w:rsidP="009E4E4C">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 </w:t>
            </w:r>
          </w:p>
        </w:tc>
        <w:tc>
          <w:tcPr>
            <w:tcW w:w="626" w:type="pct"/>
            <w:shd w:val="clear" w:color="auto" w:fill="auto"/>
            <w:hideMark/>
          </w:tcPr>
          <w:p w:rsidR="009E4E4C" w:rsidRPr="009E4E4C" w:rsidRDefault="009E4E4C" w:rsidP="009E4E4C">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 </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des équipements %</w:t>
            </w:r>
          </w:p>
        </w:tc>
        <w:tc>
          <w:tcPr>
            <w:tcW w:w="7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7,6</w:t>
            </w:r>
          </w:p>
        </w:tc>
        <w:tc>
          <w:tcPr>
            <w:tcW w:w="626" w:type="pct"/>
            <w:tcBorders>
              <w:top w:val="single" w:sz="8" w:space="0" w:color="auto"/>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6,9</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de matériels de transport %</w:t>
            </w:r>
          </w:p>
        </w:tc>
        <w:tc>
          <w:tcPr>
            <w:tcW w:w="737" w:type="pct"/>
            <w:tcBorders>
              <w:top w:val="nil"/>
              <w:left w:val="single" w:sz="8" w:space="0" w:color="auto"/>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2,6</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2,6</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de la main d’œuvre %</w:t>
            </w:r>
          </w:p>
        </w:tc>
        <w:tc>
          <w:tcPr>
            <w:tcW w:w="737" w:type="pct"/>
            <w:tcBorders>
              <w:top w:val="nil"/>
              <w:left w:val="single" w:sz="8" w:space="0" w:color="auto"/>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3,3</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3,1</w:t>
            </w:r>
          </w:p>
        </w:tc>
      </w:tr>
      <w:tr w:rsidR="00900EA8" w:rsidRPr="009E4E4C" w:rsidTr="00900EA8">
        <w:trPr>
          <w:trHeight w:val="630"/>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des informations sur les modalités d’achats (matière première, équipement…) %</w:t>
            </w:r>
          </w:p>
        </w:tc>
        <w:tc>
          <w:tcPr>
            <w:tcW w:w="737" w:type="pct"/>
            <w:tcBorders>
              <w:top w:val="nil"/>
              <w:left w:val="single" w:sz="8" w:space="0" w:color="auto"/>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12,5</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13,8</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 xml:space="preserve">des informations sur les modalités de ventes (produits finis ou dérivés …)% </w:t>
            </w:r>
          </w:p>
        </w:tc>
        <w:tc>
          <w:tcPr>
            <w:tcW w:w="737" w:type="pct"/>
            <w:tcBorders>
              <w:top w:val="nil"/>
              <w:left w:val="single" w:sz="8" w:space="0" w:color="auto"/>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16,2</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16,0</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des services de sous-traitances %</w:t>
            </w:r>
          </w:p>
        </w:tc>
        <w:tc>
          <w:tcPr>
            <w:tcW w:w="737" w:type="pct"/>
            <w:tcBorders>
              <w:top w:val="nil"/>
              <w:left w:val="single" w:sz="8" w:space="0" w:color="auto"/>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7,7</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8,6</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des infos sur les technologies de transformation  %</w:t>
            </w:r>
          </w:p>
        </w:tc>
        <w:tc>
          <w:tcPr>
            <w:tcW w:w="737" w:type="pct"/>
            <w:tcBorders>
              <w:top w:val="nil"/>
              <w:left w:val="single" w:sz="8" w:space="0" w:color="auto"/>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1,0</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1,2</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t>Evolution de la concurrence</w:t>
            </w:r>
          </w:p>
        </w:tc>
        <w:tc>
          <w:tcPr>
            <w:tcW w:w="737" w:type="pct"/>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900EA8" w:rsidRPr="00900EA8" w:rsidRDefault="00900EA8" w:rsidP="00900EA8">
            <w:pPr>
              <w:rPr>
                <w:rFonts w:ascii="Times New Roman" w:hAnsi="Times New Roman" w:cs="Times New Roman"/>
                <w:b/>
                <w:bCs/>
                <w:color w:val="000000"/>
                <w:sz w:val="24"/>
                <w:szCs w:val="24"/>
              </w:rPr>
            </w:pPr>
            <w:r w:rsidRPr="00900EA8">
              <w:rPr>
                <w:rFonts w:ascii="Times New Roman" w:hAnsi="Times New Roman" w:cs="Times New Roman"/>
                <w:b/>
                <w:bCs/>
                <w:color w:val="000000"/>
                <w:sz w:val="24"/>
                <w:szCs w:val="24"/>
              </w:rPr>
              <w:t> </w:t>
            </w:r>
          </w:p>
        </w:tc>
        <w:tc>
          <w:tcPr>
            <w:tcW w:w="626" w:type="pct"/>
            <w:tcBorders>
              <w:top w:val="nil"/>
              <w:left w:val="nil"/>
              <w:bottom w:val="single" w:sz="8" w:space="0" w:color="auto"/>
              <w:right w:val="single" w:sz="8" w:space="0" w:color="auto"/>
            </w:tcBorders>
            <w:shd w:val="clear" w:color="auto" w:fill="A6A6A6" w:themeFill="background1" w:themeFillShade="A6"/>
            <w:vAlign w:val="center"/>
            <w:hideMark/>
          </w:tcPr>
          <w:p w:rsidR="00900EA8" w:rsidRPr="00900EA8" w:rsidRDefault="00900EA8" w:rsidP="00900EA8">
            <w:pPr>
              <w:rPr>
                <w:rFonts w:ascii="Times New Roman" w:hAnsi="Times New Roman" w:cs="Times New Roman"/>
                <w:b/>
                <w:bCs/>
                <w:color w:val="000000"/>
                <w:sz w:val="24"/>
                <w:szCs w:val="24"/>
              </w:rPr>
            </w:pPr>
            <w:r w:rsidRPr="00900EA8">
              <w:rPr>
                <w:rFonts w:ascii="Times New Roman" w:hAnsi="Times New Roman" w:cs="Times New Roman"/>
                <w:b/>
                <w:bCs/>
                <w:color w:val="000000"/>
                <w:sz w:val="24"/>
                <w:szCs w:val="24"/>
              </w:rPr>
              <w:t> </w:t>
            </w:r>
          </w:p>
        </w:tc>
      </w:tr>
      <w:tr w:rsidR="00900EA8" w:rsidRPr="009E4E4C" w:rsidTr="00900EA8">
        <w:trPr>
          <w:trHeight w:val="630"/>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t xml:space="preserve">Evolution du nombre d'entreprises intervenant dans le même domaine dans un même quartier </w:t>
            </w:r>
          </w:p>
        </w:tc>
        <w:tc>
          <w:tcPr>
            <w:tcW w:w="737" w:type="pct"/>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 </w:t>
            </w:r>
          </w:p>
        </w:tc>
        <w:tc>
          <w:tcPr>
            <w:tcW w:w="626" w:type="pct"/>
            <w:tcBorders>
              <w:top w:val="nil"/>
              <w:left w:val="nil"/>
              <w:bottom w:val="single" w:sz="8" w:space="0" w:color="auto"/>
              <w:right w:val="single" w:sz="8" w:space="0" w:color="auto"/>
            </w:tcBorders>
            <w:shd w:val="clear" w:color="auto" w:fill="A6A6A6" w:themeFill="background1" w:themeFillShade="A6"/>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 </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Resté stable</w:t>
            </w:r>
          </w:p>
        </w:tc>
        <w:tc>
          <w:tcPr>
            <w:tcW w:w="737" w:type="pct"/>
            <w:tcBorders>
              <w:top w:val="nil"/>
              <w:left w:val="single" w:sz="8" w:space="0" w:color="auto"/>
              <w:bottom w:val="single" w:sz="8" w:space="0" w:color="auto"/>
              <w:right w:val="single" w:sz="8" w:space="0" w:color="auto"/>
            </w:tcBorders>
            <w:shd w:val="clear" w:color="auto" w:fill="auto"/>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 </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8,4</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Augmenté</w:t>
            </w:r>
          </w:p>
        </w:tc>
        <w:tc>
          <w:tcPr>
            <w:tcW w:w="737" w:type="pct"/>
            <w:tcBorders>
              <w:top w:val="nil"/>
              <w:left w:val="single" w:sz="8" w:space="0" w:color="auto"/>
              <w:bottom w:val="single" w:sz="8" w:space="0" w:color="auto"/>
              <w:right w:val="single" w:sz="8" w:space="0" w:color="auto"/>
            </w:tcBorders>
            <w:shd w:val="clear" w:color="auto" w:fill="auto"/>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 </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91,1</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lastRenderedPageBreak/>
              <w:t>Baissé</w:t>
            </w:r>
          </w:p>
        </w:tc>
        <w:tc>
          <w:tcPr>
            <w:tcW w:w="737" w:type="pct"/>
            <w:tcBorders>
              <w:top w:val="nil"/>
              <w:left w:val="single" w:sz="8" w:space="0" w:color="auto"/>
              <w:bottom w:val="single" w:sz="8" w:space="0" w:color="auto"/>
              <w:right w:val="single" w:sz="8" w:space="0" w:color="auto"/>
            </w:tcBorders>
            <w:shd w:val="clear" w:color="auto" w:fill="auto"/>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 </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0,5</w:t>
            </w:r>
          </w:p>
        </w:tc>
      </w:tr>
      <w:tr w:rsidR="00900EA8" w:rsidRPr="009E4E4C" w:rsidTr="00900EA8">
        <w:trPr>
          <w:trHeight w:val="630"/>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t>Evolution du nombre d'entreprises intervenant dans le même domaine dans la commune</w:t>
            </w:r>
          </w:p>
        </w:tc>
        <w:tc>
          <w:tcPr>
            <w:tcW w:w="737" w:type="pct"/>
            <w:tcBorders>
              <w:top w:val="nil"/>
              <w:left w:val="single" w:sz="8" w:space="0" w:color="auto"/>
              <w:bottom w:val="single" w:sz="8" w:space="0" w:color="auto"/>
              <w:right w:val="single" w:sz="8" w:space="0" w:color="auto"/>
            </w:tcBorders>
            <w:shd w:val="clear" w:color="auto" w:fill="auto"/>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 </w:t>
            </w:r>
          </w:p>
        </w:tc>
        <w:tc>
          <w:tcPr>
            <w:tcW w:w="626" w:type="pct"/>
            <w:tcBorders>
              <w:top w:val="nil"/>
              <w:left w:val="nil"/>
              <w:bottom w:val="single" w:sz="8" w:space="0" w:color="auto"/>
              <w:right w:val="single" w:sz="8" w:space="0" w:color="auto"/>
            </w:tcBorders>
            <w:shd w:val="clear" w:color="auto" w:fill="auto"/>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 </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Resté stable</w:t>
            </w:r>
          </w:p>
        </w:tc>
        <w:tc>
          <w:tcPr>
            <w:tcW w:w="737" w:type="pct"/>
            <w:tcBorders>
              <w:top w:val="nil"/>
              <w:left w:val="single" w:sz="8" w:space="0" w:color="auto"/>
              <w:bottom w:val="single" w:sz="8" w:space="0" w:color="auto"/>
              <w:right w:val="single" w:sz="8" w:space="0" w:color="auto"/>
            </w:tcBorders>
            <w:shd w:val="clear" w:color="auto" w:fill="auto"/>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 </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5,0</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Augmenté</w:t>
            </w:r>
          </w:p>
        </w:tc>
        <w:tc>
          <w:tcPr>
            <w:tcW w:w="737" w:type="pct"/>
            <w:tcBorders>
              <w:top w:val="nil"/>
              <w:left w:val="single" w:sz="8" w:space="0" w:color="auto"/>
              <w:bottom w:val="single" w:sz="8" w:space="0" w:color="auto"/>
              <w:right w:val="single" w:sz="8" w:space="0" w:color="auto"/>
            </w:tcBorders>
            <w:shd w:val="clear" w:color="auto" w:fill="auto"/>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 </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94,9</w:t>
            </w:r>
          </w:p>
        </w:tc>
      </w:tr>
      <w:tr w:rsidR="00900EA8" w:rsidRPr="009E4E4C" w:rsidTr="00900EA8">
        <w:trPr>
          <w:trHeight w:val="315"/>
        </w:trPr>
        <w:tc>
          <w:tcPr>
            <w:tcW w:w="3637" w:type="pct"/>
            <w:shd w:val="clear" w:color="auto" w:fill="auto"/>
            <w:hideMark/>
          </w:tcPr>
          <w:p w:rsidR="00900EA8" w:rsidRPr="009E4E4C" w:rsidRDefault="00900EA8" w:rsidP="00900EA8">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Baissé</w:t>
            </w:r>
          </w:p>
        </w:tc>
        <w:tc>
          <w:tcPr>
            <w:tcW w:w="737" w:type="pct"/>
            <w:tcBorders>
              <w:top w:val="nil"/>
              <w:left w:val="single" w:sz="8" w:space="0" w:color="auto"/>
              <w:bottom w:val="single" w:sz="8" w:space="0" w:color="auto"/>
              <w:right w:val="single" w:sz="8" w:space="0" w:color="auto"/>
            </w:tcBorders>
            <w:shd w:val="clear" w:color="auto" w:fill="auto"/>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 </w:t>
            </w:r>
          </w:p>
        </w:tc>
        <w:tc>
          <w:tcPr>
            <w:tcW w:w="626" w:type="pct"/>
            <w:tcBorders>
              <w:top w:val="nil"/>
              <w:left w:val="nil"/>
              <w:bottom w:val="single" w:sz="8" w:space="0" w:color="auto"/>
              <w:right w:val="single" w:sz="8" w:space="0" w:color="auto"/>
            </w:tcBorders>
            <w:shd w:val="clear" w:color="auto" w:fill="auto"/>
            <w:noWrap/>
            <w:vAlign w:val="center"/>
            <w:hideMark/>
          </w:tcPr>
          <w:p w:rsidR="00900EA8" w:rsidRPr="00900EA8" w:rsidRDefault="00900EA8" w:rsidP="00900EA8">
            <w:pPr>
              <w:rPr>
                <w:rFonts w:ascii="Times New Roman" w:hAnsi="Times New Roman" w:cs="Times New Roman"/>
                <w:color w:val="000000"/>
                <w:sz w:val="24"/>
                <w:szCs w:val="24"/>
              </w:rPr>
            </w:pPr>
            <w:r w:rsidRPr="00900EA8">
              <w:rPr>
                <w:rFonts w:ascii="Times New Roman" w:hAnsi="Times New Roman" w:cs="Times New Roman"/>
                <w:color w:val="000000"/>
                <w:sz w:val="24"/>
                <w:szCs w:val="24"/>
              </w:rPr>
              <w:t>0,2</w:t>
            </w:r>
          </w:p>
        </w:tc>
      </w:tr>
    </w:tbl>
    <w:p w:rsidR="009E4E4C" w:rsidRPr="009E4E4C" w:rsidRDefault="009E4E4C" w:rsidP="009E4E4C">
      <w:pPr>
        <w:spacing w:after="0"/>
        <w:rPr>
          <w:rFonts w:ascii="Times New Roman" w:hAnsi="Times New Roman"/>
          <w:szCs w:val="28"/>
        </w:rPr>
      </w:pPr>
      <w:r w:rsidRPr="009E4E4C">
        <w:rPr>
          <w:rFonts w:ascii="Times New Roman" w:hAnsi="Times New Roman"/>
          <w:szCs w:val="28"/>
        </w:rPr>
        <w:t>Source : Données PAPA, 2018</w:t>
      </w:r>
    </w:p>
    <w:p w:rsidR="009E4E4C" w:rsidRPr="009E4E4C" w:rsidRDefault="009E4E4C" w:rsidP="009E4E4C">
      <w:pPr>
        <w:spacing w:before="120" w:after="120" w:line="360" w:lineRule="auto"/>
        <w:jc w:val="both"/>
        <w:rPr>
          <w:rFonts w:ascii="Times New Roman" w:hAnsi="Times New Roman"/>
          <w:sz w:val="24"/>
        </w:rPr>
      </w:pPr>
      <w:r w:rsidRPr="009E4E4C">
        <w:rPr>
          <w:rFonts w:ascii="Times New Roman" w:hAnsi="Times New Roman"/>
          <w:sz w:val="24"/>
        </w:rPr>
        <w:t xml:space="preserve">L’analyse des données de la </w:t>
      </w:r>
      <w:r w:rsidR="00900EA8">
        <w:rPr>
          <w:rFonts w:ascii="Times New Roman" w:hAnsi="Times New Roman"/>
          <w:sz w:val="24"/>
        </w:rPr>
        <w:t>figure 9</w:t>
      </w:r>
      <w:r w:rsidRPr="009E4E4C">
        <w:rPr>
          <w:rFonts w:ascii="Times New Roman" w:hAnsi="Times New Roman"/>
          <w:sz w:val="24"/>
        </w:rPr>
        <w:t xml:space="preserve"> montre qu’à l’instar des approvisionnements en marchandises, le riz blanc brisé ordinaire importé vient en première position des ventes annuelles moyennes (21 tonnes). Il est suivi par le mil grain (18 tonnes) et le maïs grain (11 tonnes). Ces ventes confirment l’importance du mil grain dans la consommation des sénégalais. En effet, ce dernier passe devant tous les autres produits du riz. Les ventes des produits transformés demeurent encore faibles.</w:t>
      </w:r>
    </w:p>
    <w:p w:rsidR="007B63F8" w:rsidRDefault="009E4E4C" w:rsidP="007B63F8">
      <w:pPr>
        <w:keepNext/>
      </w:pPr>
      <w:r w:rsidRPr="009E4E4C">
        <w:rPr>
          <w:noProof/>
          <w:lang w:eastAsia="fr-FR"/>
        </w:rPr>
        <w:drawing>
          <wp:inline distT="0" distB="0" distL="0" distR="0" wp14:anchorId="6BBD8947" wp14:editId="61485E5B">
            <wp:extent cx="5844540" cy="3108960"/>
            <wp:effectExtent l="0" t="0" r="3810" b="15240"/>
            <wp:docPr id="24" name="Graphique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E4E4C" w:rsidRPr="009E4E4C" w:rsidRDefault="00900EA8" w:rsidP="00900EA8">
      <w:pPr>
        <w:pStyle w:val="Lgende"/>
      </w:pPr>
      <w:bookmarkStart w:id="102" w:name="_Toc34303328"/>
      <w:r w:rsidRPr="00900EA8">
        <w:rPr>
          <w:b/>
        </w:rPr>
        <w:t xml:space="preserve">Figure </w:t>
      </w:r>
      <w:r w:rsidRPr="00900EA8">
        <w:rPr>
          <w:b/>
        </w:rPr>
        <w:fldChar w:fldCharType="begin"/>
      </w:r>
      <w:r w:rsidRPr="00900EA8">
        <w:rPr>
          <w:b/>
        </w:rPr>
        <w:instrText xml:space="preserve"> SEQ Figure \* ARABIC </w:instrText>
      </w:r>
      <w:r w:rsidRPr="00900EA8">
        <w:rPr>
          <w:b/>
        </w:rPr>
        <w:fldChar w:fldCharType="separate"/>
      </w:r>
      <w:r w:rsidRPr="00900EA8">
        <w:rPr>
          <w:b/>
          <w:noProof/>
        </w:rPr>
        <w:t>9</w:t>
      </w:r>
      <w:r w:rsidRPr="00900EA8">
        <w:rPr>
          <w:b/>
        </w:rPr>
        <w:fldChar w:fldCharType="end"/>
      </w:r>
      <w:r w:rsidR="007B63F8">
        <w:t>:</w:t>
      </w:r>
      <w:bookmarkStart w:id="103" w:name="_Toc1417045"/>
      <w:bookmarkStart w:id="104" w:name="_Toc1484565"/>
      <w:bookmarkStart w:id="105" w:name="_Toc3549269"/>
      <w:r w:rsidR="009E4E4C" w:rsidRPr="009E4E4C">
        <w:t>Ventes annuelles moyennes des principaux produits en tonnes</w:t>
      </w:r>
      <w:bookmarkEnd w:id="103"/>
      <w:bookmarkEnd w:id="104"/>
      <w:bookmarkEnd w:id="105"/>
      <w:r w:rsidR="007B63F8">
        <w:t xml:space="preserve"> par détaillant</w:t>
      </w:r>
      <w:bookmarkEnd w:id="102"/>
    </w:p>
    <w:p w:rsidR="009E4E4C" w:rsidRPr="009E4E4C" w:rsidRDefault="009E4E4C" w:rsidP="007B63F8">
      <w:pPr>
        <w:spacing w:after="0" w:line="240" w:lineRule="auto"/>
        <w:rPr>
          <w:rFonts w:ascii="Times New Roman" w:hAnsi="Times New Roman"/>
          <w:szCs w:val="28"/>
        </w:rPr>
      </w:pPr>
      <w:r w:rsidRPr="009E4E4C">
        <w:rPr>
          <w:rFonts w:ascii="Times New Roman" w:hAnsi="Times New Roman"/>
          <w:szCs w:val="28"/>
        </w:rPr>
        <w:t>Source : Auteurs, à partir de données PAPA, 2018</w:t>
      </w:r>
    </w:p>
    <w:p w:rsidR="009E4E4C" w:rsidRPr="009E4E4C" w:rsidRDefault="009E4E4C" w:rsidP="009E4E4C">
      <w:pPr>
        <w:spacing w:before="120" w:after="120" w:line="360" w:lineRule="auto"/>
        <w:jc w:val="both"/>
        <w:rPr>
          <w:rFonts w:ascii="Times New Roman" w:hAnsi="Times New Roman"/>
          <w:sz w:val="24"/>
        </w:rPr>
      </w:pPr>
      <w:r w:rsidRPr="009E4E4C">
        <w:rPr>
          <w:rFonts w:ascii="Times New Roman" w:hAnsi="Times New Roman"/>
          <w:sz w:val="24"/>
        </w:rPr>
        <w:t>Par rapport au démarrage, la majorité des entreprises trouvent que les ventes de céréales sèches ont augmenté</w:t>
      </w:r>
      <w:r w:rsidR="00900EA8">
        <w:rPr>
          <w:rFonts w:ascii="Times New Roman" w:hAnsi="Times New Roman"/>
          <w:sz w:val="24"/>
        </w:rPr>
        <w:t xml:space="preserve"> (tableau 22</w:t>
      </w:r>
      <w:r w:rsidRPr="009E4E4C">
        <w:rPr>
          <w:rFonts w:ascii="Times New Roman" w:hAnsi="Times New Roman"/>
          <w:sz w:val="24"/>
        </w:rPr>
        <w:t>). Ces résultats prouvent que la demande pour ces produits ne cesse de croître et qu’il y a des débouchés pouvant tirer la production de ces céréales.</w:t>
      </w:r>
    </w:p>
    <w:p w:rsidR="009E4E4C" w:rsidRPr="009E4E4C" w:rsidRDefault="00900EA8" w:rsidP="00900EA8">
      <w:pPr>
        <w:pStyle w:val="Lgende"/>
        <w:rPr>
          <w:iCs w:val="0"/>
          <w:szCs w:val="24"/>
        </w:rPr>
      </w:pPr>
      <w:bookmarkStart w:id="106" w:name="_Toc1484511"/>
      <w:bookmarkStart w:id="107" w:name="_Toc3549405"/>
      <w:bookmarkStart w:id="108" w:name="_Toc34303319"/>
      <w:r w:rsidRPr="00900EA8">
        <w:rPr>
          <w:b/>
        </w:rPr>
        <w:t xml:space="preserve">Tableau </w:t>
      </w:r>
      <w:r w:rsidRPr="00900EA8">
        <w:rPr>
          <w:b/>
        </w:rPr>
        <w:fldChar w:fldCharType="begin"/>
      </w:r>
      <w:r w:rsidRPr="00900EA8">
        <w:rPr>
          <w:b/>
        </w:rPr>
        <w:instrText xml:space="preserve"> SEQ Tableau \* ARABIC </w:instrText>
      </w:r>
      <w:r w:rsidRPr="00900EA8">
        <w:rPr>
          <w:b/>
        </w:rPr>
        <w:fldChar w:fldCharType="separate"/>
      </w:r>
      <w:r w:rsidRPr="00900EA8">
        <w:rPr>
          <w:b/>
          <w:noProof/>
        </w:rPr>
        <w:t>22</w:t>
      </w:r>
      <w:r w:rsidRPr="00900EA8">
        <w:rPr>
          <w:b/>
        </w:rPr>
        <w:fldChar w:fldCharType="end"/>
      </w:r>
      <w:r w:rsidR="009E4E4C" w:rsidRPr="009E4E4C">
        <w:rPr>
          <w:iCs w:val="0"/>
          <w:szCs w:val="24"/>
        </w:rPr>
        <w:t>: Perceptions des détaillants sur l'évolution des ventes de céréales sèches par rapport au démarrage</w:t>
      </w:r>
      <w:bookmarkEnd w:id="106"/>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486"/>
        <w:gridCol w:w="1486"/>
        <w:gridCol w:w="1486"/>
        <w:gridCol w:w="2081"/>
      </w:tblGrid>
      <w:tr w:rsidR="009E4E4C" w:rsidRPr="009E4E4C" w:rsidTr="00F858E3">
        <w:trPr>
          <w:trHeight w:val="315"/>
        </w:trPr>
        <w:tc>
          <w:tcPr>
            <w:tcW w:w="1392" w:type="pct"/>
            <w:shd w:val="clear" w:color="auto" w:fill="auto"/>
            <w:hideMark/>
          </w:tcPr>
          <w:p w:rsidR="009E4E4C" w:rsidRPr="009E4E4C" w:rsidRDefault="009E4E4C" w:rsidP="009E4E4C">
            <w:pPr>
              <w:spacing w:after="0" w:line="240" w:lineRule="auto"/>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t> </w:t>
            </w:r>
          </w:p>
        </w:tc>
        <w:tc>
          <w:tcPr>
            <w:tcW w:w="3608" w:type="pct"/>
            <w:gridSpan w:val="4"/>
            <w:shd w:val="clear" w:color="auto" w:fill="auto"/>
            <w:hideMark/>
          </w:tcPr>
          <w:p w:rsidR="009E4E4C" w:rsidRPr="009E4E4C" w:rsidRDefault="009E4E4C" w:rsidP="009E4E4C">
            <w:pPr>
              <w:spacing w:after="0" w:line="240" w:lineRule="auto"/>
              <w:jc w:val="center"/>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t>Détaillants (n=582)</w:t>
            </w:r>
          </w:p>
        </w:tc>
      </w:tr>
      <w:tr w:rsidR="009E4E4C" w:rsidRPr="009E4E4C" w:rsidTr="00F858E3">
        <w:trPr>
          <w:trHeight w:val="630"/>
        </w:trPr>
        <w:tc>
          <w:tcPr>
            <w:tcW w:w="1392" w:type="pct"/>
            <w:shd w:val="clear" w:color="auto" w:fill="auto"/>
            <w:hideMark/>
          </w:tcPr>
          <w:p w:rsidR="009E4E4C" w:rsidRPr="009E4E4C" w:rsidRDefault="009E4E4C" w:rsidP="009E4E4C">
            <w:pPr>
              <w:spacing w:after="0" w:line="240" w:lineRule="auto"/>
              <w:rPr>
                <w:rFonts w:ascii="Times New Roman" w:eastAsia="Times New Roman" w:hAnsi="Times New Roman"/>
                <w:b/>
                <w:bCs/>
                <w:color w:val="000000"/>
                <w:sz w:val="24"/>
                <w:szCs w:val="24"/>
                <w:lang w:eastAsia="fr-FR"/>
              </w:rPr>
            </w:pPr>
            <w:r w:rsidRPr="009E4E4C">
              <w:rPr>
                <w:rFonts w:ascii="Times New Roman" w:eastAsia="Times New Roman" w:hAnsi="Times New Roman"/>
                <w:b/>
                <w:bCs/>
                <w:color w:val="000000"/>
                <w:sz w:val="24"/>
                <w:szCs w:val="24"/>
                <w:lang w:eastAsia="fr-FR"/>
              </w:rPr>
              <w:lastRenderedPageBreak/>
              <w:t xml:space="preserve"> </w:t>
            </w:r>
          </w:p>
        </w:tc>
        <w:tc>
          <w:tcPr>
            <w:tcW w:w="820" w:type="pct"/>
            <w:shd w:val="clear" w:color="auto" w:fill="auto"/>
            <w:hideMark/>
          </w:tcPr>
          <w:p w:rsidR="009E4E4C" w:rsidRPr="009E4E4C" w:rsidRDefault="009E4E4C" w:rsidP="009E4E4C">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 xml:space="preserve">Elles sont restées stables </w:t>
            </w:r>
          </w:p>
        </w:tc>
        <w:tc>
          <w:tcPr>
            <w:tcW w:w="820" w:type="pct"/>
            <w:shd w:val="clear" w:color="auto" w:fill="auto"/>
            <w:hideMark/>
          </w:tcPr>
          <w:p w:rsidR="009E4E4C" w:rsidRPr="009E4E4C" w:rsidRDefault="009E4E4C" w:rsidP="009E4E4C">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Elles ont augmenté</w:t>
            </w:r>
          </w:p>
        </w:tc>
        <w:tc>
          <w:tcPr>
            <w:tcW w:w="820" w:type="pct"/>
            <w:shd w:val="clear" w:color="auto" w:fill="auto"/>
            <w:hideMark/>
          </w:tcPr>
          <w:p w:rsidR="009E4E4C" w:rsidRPr="009E4E4C" w:rsidRDefault="009E4E4C" w:rsidP="009E4E4C">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Elles ont baissé</w:t>
            </w:r>
          </w:p>
        </w:tc>
        <w:tc>
          <w:tcPr>
            <w:tcW w:w="1148" w:type="pct"/>
            <w:shd w:val="clear" w:color="auto" w:fill="auto"/>
            <w:hideMark/>
          </w:tcPr>
          <w:p w:rsidR="009E4E4C" w:rsidRPr="009E4E4C" w:rsidRDefault="009E4E4C" w:rsidP="009E4E4C">
            <w:pPr>
              <w:spacing w:after="0" w:line="240" w:lineRule="auto"/>
              <w:ind w:firstLineChars="300" w:firstLine="720"/>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Total</w:t>
            </w:r>
          </w:p>
        </w:tc>
      </w:tr>
      <w:tr w:rsidR="009E4E4C" w:rsidRPr="009E4E4C" w:rsidTr="00F858E3">
        <w:trPr>
          <w:trHeight w:val="300"/>
        </w:trPr>
        <w:tc>
          <w:tcPr>
            <w:tcW w:w="1392" w:type="pct"/>
            <w:shd w:val="clear" w:color="auto" w:fill="auto"/>
            <w:noWrap/>
            <w:hideMark/>
          </w:tcPr>
          <w:p w:rsidR="009E4E4C" w:rsidRPr="009E4E4C" w:rsidRDefault="009E4E4C" w:rsidP="009E4E4C">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Mil grain</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19,8</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67,3</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13,0</w:t>
            </w:r>
          </w:p>
        </w:tc>
        <w:tc>
          <w:tcPr>
            <w:tcW w:w="1148"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100</w:t>
            </w:r>
          </w:p>
        </w:tc>
      </w:tr>
      <w:tr w:rsidR="009E4E4C" w:rsidRPr="009E4E4C" w:rsidTr="00F858E3">
        <w:trPr>
          <w:trHeight w:val="300"/>
        </w:trPr>
        <w:tc>
          <w:tcPr>
            <w:tcW w:w="1392" w:type="pct"/>
            <w:shd w:val="clear" w:color="auto" w:fill="auto"/>
            <w:noWrap/>
            <w:hideMark/>
          </w:tcPr>
          <w:p w:rsidR="009E4E4C" w:rsidRPr="009E4E4C" w:rsidRDefault="009E4E4C" w:rsidP="009E4E4C">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Sorgho grain</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18,3</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67,9</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13,8</w:t>
            </w:r>
          </w:p>
        </w:tc>
        <w:tc>
          <w:tcPr>
            <w:tcW w:w="1148"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100</w:t>
            </w:r>
          </w:p>
        </w:tc>
      </w:tr>
      <w:tr w:rsidR="009E4E4C" w:rsidRPr="009E4E4C" w:rsidTr="00F858E3">
        <w:trPr>
          <w:trHeight w:val="300"/>
        </w:trPr>
        <w:tc>
          <w:tcPr>
            <w:tcW w:w="1392" w:type="pct"/>
            <w:shd w:val="clear" w:color="auto" w:fill="auto"/>
            <w:noWrap/>
            <w:hideMark/>
          </w:tcPr>
          <w:p w:rsidR="009E4E4C" w:rsidRPr="009E4E4C" w:rsidRDefault="009E4E4C" w:rsidP="009E4E4C">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Mais grain</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21,1</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64,4</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14,4</w:t>
            </w:r>
          </w:p>
        </w:tc>
        <w:tc>
          <w:tcPr>
            <w:tcW w:w="1148"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100</w:t>
            </w:r>
          </w:p>
        </w:tc>
      </w:tr>
      <w:tr w:rsidR="009E4E4C" w:rsidRPr="009E4E4C" w:rsidTr="00F858E3">
        <w:trPr>
          <w:trHeight w:val="300"/>
        </w:trPr>
        <w:tc>
          <w:tcPr>
            <w:tcW w:w="1392" w:type="pct"/>
            <w:shd w:val="clear" w:color="auto" w:fill="auto"/>
            <w:noWrap/>
            <w:hideMark/>
          </w:tcPr>
          <w:p w:rsidR="009E4E4C" w:rsidRPr="009E4E4C" w:rsidRDefault="009E4E4C" w:rsidP="009E4E4C">
            <w:pPr>
              <w:spacing w:after="0" w:line="240" w:lineRule="auto"/>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Fonio grain</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22,2</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66,7</w:t>
            </w:r>
          </w:p>
        </w:tc>
        <w:tc>
          <w:tcPr>
            <w:tcW w:w="820"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11,1</w:t>
            </w:r>
          </w:p>
        </w:tc>
        <w:tc>
          <w:tcPr>
            <w:tcW w:w="1148" w:type="pct"/>
            <w:shd w:val="clear" w:color="auto" w:fill="auto"/>
            <w:noWrap/>
            <w:hideMark/>
          </w:tcPr>
          <w:p w:rsidR="009E4E4C" w:rsidRPr="009E4E4C" w:rsidRDefault="009E4E4C" w:rsidP="009E4E4C">
            <w:pPr>
              <w:spacing w:after="0" w:line="240" w:lineRule="auto"/>
              <w:jc w:val="right"/>
              <w:rPr>
                <w:rFonts w:ascii="Times New Roman" w:eastAsia="Times New Roman" w:hAnsi="Times New Roman"/>
                <w:color w:val="000000"/>
                <w:sz w:val="24"/>
                <w:szCs w:val="24"/>
                <w:lang w:eastAsia="fr-FR"/>
              </w:rPr>
            </w:pPr>
            <w:r w:rsidRPr="009E4E4C">
              <w:rPr>
                <w:rFonts w:ascii="Times New Roman" w:eastAsia="Times New Roman" w:hAnsi="Times New Roman"/>
                <w:color w:val="000000"/>
                <w:sz w:val="24"/>
                <w:szCs w:val="24"/>
                <w:lang w:eastAsia="fr-FR"/>
              </w:rPr>
              <w:t>100</w:t>
            </w:r>
          </w:p>
        </w:tc>
      </w:tr>
    </w:tbl>
    <w:p w:rsidR="009E4E4C" w:rsidRPr="009E4E4C" w:rsidRDefault="009E4E4C" w:rsidP="009E4E4C">
      <w:pPr>
        <w:spacing w:after="0"/>
        <w:rPr>
          <w:rFonts w:ascii="Times New Roman" w:hAnsi="Times New Roman"/>
          <w:szCs w:val="28"/>
        </w:rPr>
      </w:pPr>
      <w:r w:rsidRPr="009E4E4C">
        <w:rPr>
          <w:rFonts w:ascii="Times New Roman" w:hAnsi="Times New Roman"/>
          <w:szCs w:val="28"/>
        </w:rPr>
        <w:t>Source : Données PAPA, 2018</w:t>
      </w:r>
    </w:p>
    <w:p w:rsidR="00900EA8" w:rsidRDefault="00900EA8">
      <w:pPr>
        <w:rPr>
          <w:rFonts w:ascii="Times New Roman" w:eastAsiaTheme="majorEastAsia" w:hAnsi="Times New Roman" w:cstheme="majorBidi"/>
          <w:color w:val="44546A" w:themeColor="text2"/>
          <w:sz w:val="28"/>
          <w:szCs w:val="26"/>
        </w:rPr>
      </w:pPr>
      <w:r>
        <w:br w:type="page"/>
      </w:r>
    </w:p>
    <w:p w:rsidR="009E4E4C" w:rsidRDefault="00900EA8" w:rsidP="00900EA8">
      <w:pPr>
        <w:pStyle w:val="Titre1"/>
        <w:numPr>
          <w:ilvl w:val="0"/>
          <w:numId w:val="0"/>
        </w:numPr>
      </w:pPr>
      <w:bookmarkStart w:id="109" w:name="_Toc34303398"/>
      <w:r>
        <w:lastRenderedPageBreak/>
        <w:t>VI. </w:t>
      </w:r>
      <w:r w:rsidR="009E4E4C">
        <w:t>Conclusion</w:t>
      </w:r>
      <w:bookmarkEnd w:id="109"/>
    </w:p>
    <w:p w:rsidR="009E4E4C" w:rsidRDefault="00900EA8" w:rsidP="009E4E4C">
      <w:pPr>
        <w:spacing w:before="120" w:after="120" w:line="360" w:lineRule="auto"/>
        <w:jc w:val="both"/>
        <w:rPr>
          <w:rFonts w:ascii="Times New Roman" w:hAnsi="Times New Roman"/>
          <w:color w:val="000000"/>
          <w:sz w:val="24"/>
          <w:szCs w:val="24"/>
        </w:rPr>
      </w:pPr>
      <w:r>
        <w:rPr>
          <w:rFonts w:ascii="Times New Roman" w:hAnsi="Times New Roman"/>
          <w:color w:val="000000"/>
          <w:sz w:val="24"/>
          <w:szCs w:val="24"/>
        </w:rPr>
        <w:t>Ce chapitre avait pour objectif d’étudier la structure, le comportement et la performance du maillon de la vente au détail des céréales sèches. Les données proviennent d’enquêtes et d’entretiens menés auprès des acteurs de ce maillon. Des résultats phares ont été trouvés et les recommandations que nous allons en tirer pourront guider les politiques pour l’émergence de la commercialisation des céréales sèches.</w:t>
      </w:r>
    </w:p>
    <w:p w:rsidR="00C03C9A" w:rsidRDefault="00C03C9A" w:rsidP="00C03C9A">
      <w:pPr>
        <w:spacing w:before="120" w:after="120" w:line="360" w:lineRule="auto"/>
        <w:jc w:val="both"/>
        <w:rPr>
          <w:rFonts w:ascii="Times New Roman" w:hAnsi="Times New Roman"/>
          <w:color w:val="000000"/>
          <w:sz w:val="24"/>
          <w:szCs w:val="24"/>
        </w:rPr>
      </w:pPr>
      <w:r w:rsidRPr="009E4E4C">
        <w:rPr>
          <w:rFonts w:ascii="Times New Roman" w:hAnsi="Times New Roman"/>
          <w:color w:val="000000"/>
          <w:sz w:val="24"/>
          <w:szCs w:val="24"/>
        </w:rPr>
        <w:t>La commercialisation au détail des céréales est l’œuvre de petites entreprises, majoritairement gérées par des hommes. Ils vendent une diversité de produits en dehors des céréales. Les entreprises sont principalement informelles et le niveau de formation des gérants est relativement faible. Les commerçants travaillent essentiellement sur fonds propres et ont un faible accès au crédit bancaire. Ce maillon est stratégique dans l’approvisionnement des consommateurs car il est en contact permanent avec ces derniers. Pour l’instant, ces acteurs ne sont pas encore dans la logique de tirer la chaine de valeur mais chacun agit plutôt en fonction de ses propres intérêts. L’intégration verticale est peu présente et la collaboration entre entreprises se fait rarement. La professionnalisation et le renforcement de capacités de ces acteurs est ainsi nécessaire pour assurer la disponibilité de produits de qualité et le développement de la chaine de valeur.</w:t>
      </w:r>
    </w:p>
    <w:p w:rsidR="00C03C9A" w:rsidRPr="009E4E4C" w:rsidRDefault="00C03C9A" w:rsidP="00C03C9A">
      <w:pPr>
        <w:spacing w:line="360" w:lineRule="auto"/>
        <w:jc w:val="both"/>
        <w:rPr>
          <w:rFonts w:ascii="Times New Roman" w:hAnsi="Times New Roman"/>
          <w:sz w:val="24"/>
        </w:rPr>
      </w:pPr>
      <w:r w:rsidRPr="009E4E4C">
        <w:rPr>
          <w:rFonts w:ascii="Times New Roman" w:hAnsi="Times New Roman"/>
          <w:sz w:val="24"/>
        </w:rPr>
        <w:t>Le manque</w:t>
      </w:r>
      <w:r>
        <w:rPr>
          <w:rFonts w:ascii="Times New Roman" w:hAnsi="Times New Roman"/>
          <w:sz w:val="24"/>
        </w:rPr>
        <w:t xml:space="preserve"> de qualification des commerçants peut</w:t>
      </w:r>
      <w:r w:rsidRPr="009E4E4C">
        <w:rPr>
          <w:rFonts w:ascii="Times New Roman" w:hAnsi="Times New Roman"/>
          <w:sz w:val="24"/>
        </w:rPr>
        <w:t xml:space="preserve"> justifie</w:t>
      </w:r>
      <w:r>
        <w:rPr>
          <w:rFonts w:ascii="Times New Roman" w:hAnsi="Times New Roman"/>
          <w:sz w:val="24"/>
        </w:rPr>
        <w:t>r</w:t>
      </w:r>
      <w:r w:rsidRPr="009E4E4C">
        <w:rPr>
          <w:rFonts w:ascii="Times New Roman" w:hAnsi="Times New Roman"/>
          <w:sz w:val="24"/>
        </w:rPr>
        <w:t xml:space="preserve"> la mauvaise gestion de l’approvisionnement. Ils ne contractualisent pas avec les producteurs. Les transformateurs plus formés et encadrés, sécurisent leur approvisionnement à travers des contrats d’achat avec des producteurs. Les commerçants devraient également pouvoir bénéficier de ce type d’encadrement. Pour parer au manque de stock, ils devraient également disposer de locaux de stockage collectifs ou individuels. Cela pourrait faire partie des services procurés par les organisations auxquelles ils participent. </w:t>
      </w:r>
    </w:p>
    <w:p w:rsidR="009E4E4C" w:rsidRDefault="009E4E4C">
      <w:pPr>
        <w:rPr>
          <w:rFonts w:ascii="Times New Roman" w:eastAsiaTheme="majorEastAsia" w:hAnsi="Times New Roman" w:cstheme="majorBidi"/>
          <w:color w:val="44546A" w:themeColor="text2"/>
          <w:sz w:val="32"/>
          <w:szCs w:val="32"/>
        </w:rPr>
      </w:pPr>
      <w:r>
        <w:br w:type="page"/>
      </w:r>
    </w:p>
    <w:p w:rsidR="007C2CDC" w:rsidRDefault="00303C68" w:rsidP="00303C68">
      <w:pPr>
        <w:pStyle w:val="Titre1"/>
        <w:numPr>
          <w:ilvl w:val="0"/>
          <w:numId w:val="0"/>
        </w:numPr>
      </w:pPr>
      <w:bookmarkStart w:id="110" w:name="_Toc34303399"/>
      <w:r>
        <w:lastRenderedPageBreak/>
        <w:t>Références bibliographiques</w:t>
      </w:r>
      <w:bookmarkEnd w:id="110"/>
      <w:r w:rsidR="00C03C9A">
        <w:t xml:space="preserve"> </w:t>
      </w:r>
    </w:p>
    <w:p w:rsidR="005B594A" w:rsidRDefault="00560940" w:rsidP="007C2CDC">
      <w:pPr>
        <w:pStyle w:val="RapportPAPA"/>
      </w:pPr>
      <w:r>
        <w:t>(</w:t>
      </w:r>
      <w:r w:rsidR="007C2CDC" w:rsidRPr="007C2CDC">
        <w:rPr>
          <w:highlight w:val="yellow"/>
        </w:rPr>
        <w:t>Certaines</w:t>
      </w:r>
      <w:r w:rsidRPr="007C2CDC">
        <w:rPr>
          <w:highlight w:val="yellow"/>
        </w:rPr>
        <w:t xml:space="preserve"> sont déjà présentes dans le chapitre sur les systèmes de production</w:t>
      </w:r>
      <w:r>
        <w:t>)</w:t>
      </w:r>
    </w:p>
    <w:p w:rsidR="00D860DB" w:rsidRPr="009D2E32" w:rsidRDefault="00D860DB" w:rsidP="00D860DB">
      <w:pPr>
        <w:jc w:val="both"/>
        <w:rPr>
          <w:rFonts w:ascii="Times New Roman" w:eastAsia="Calibri" w:hAnsi="Times New Roman" w:cs="Times New Roman"/>
          <w:sz w:val="24"/>
          <w:szCs w:val="24"/>
          <w:lang w:val="en-CA"/>
        </w:rPr>
      </w:pPr>
      <w:r w:rsidRPr="009D2E32">
        <w:rPr>
          <w:rFonts w:ascii="Times New Roman" w:eastAsia="Calibri" w:hAnsi="Times New Roman" w:cs="Times New Roman"/>
          <w:sz w:val="24"/>
          <w:szCs w:val="24"/>
          <w:lang w:val="en-CA"/>
        </w:rPr>
        <w:t xml:space="preserve">Coe, N.M; Dicken, P., &amp; Hess, M. (2008). Global production networks: realizing the potential. </w:t>
      </w:r>
      <w:r w:rsidRPr="009D2E32">
        <w:rPr>
          <w:rFonts w:ascii="Times New Roman" w:eastAsia="Calibri" w:hAnsi="Times New Roman" w:cs="Times New Roman"/>
          <w:i/>
          <w:sz w:val="24"/>
          <w:szCs w:val="24"/>
          <w:lang w:val="en-CA"/>
        </w:rPr>
        <w:t>Journal of Economic Geography, Vol 8</w:t>
      </w:r>
      <w:r w:rsidRPr="009D2E32">
        <w:rPr>
          <w:rFonts w:ascii="Times New Roman" w:eastAsia="Calibri" w:hAnsi="Times New Roman" w:cs="Times New Roman"/>
          <w:sz w:val="24"/>
          <w:szCs w:val="24"/>
          <w:lang w:val="en-CA"/>
        </w:rPr>
        <w:t>(3), 271-295.</w:t>
      </w:r>
    </w:p>
    <w:p w:rsidR="00D860DB" w:rsidRPr="00D860DB" w:rsidRDefault="00D860DB" w:rsidP="00D860DB">
      <w:pPr>
        <w:jc w:val="both"/>
        <w:rPr>
          <w:rFonts w:ascii="Times New Roman" w:eastAsia="Calibri" w:hAnsi="Times New Roman" w:cs="Times New Roman"/>
          <w:sz w:val="24"/>
          <w:szCs w:val="24"/>
          <w:lang w:val="en-CA"/>
        </w:rPr>
      </w:pPr>
      <w:r w:rsidRPr="009D2E32">
        <w:rPr>
          <w:rFonts w:ascii="Times New Roman" w:eastAsia="Calibri" w:hAnsi="Times New Roman" w:cs="Times New Roman"/>
          <w:sz w:val="24"/>
          <w:szCs w:val="24"/>
          <w:lang w:val="en-CA"/>
        </w:rPr>
        <w:t xml:space="preserve">Coe, NM, Hess, M </w:t>
      </w:r>
      <w:proofErr w:type="gramStart"/>
      <w:r w:rsidRPr="009D2E32">
        <w:rPr>
          <w:rFonts w:ascii="Times New Roman" w:eastAsia="Calibri" w:hAnsi="Times New Roman" w:cs="Times New Roman"/>
          <w:sz w:val="24"/>
          <w:szCs w:val="24"/>
          <w:lang w:val="en-CA"/>
        </w:rPr>
        <w:t>( 2011</w:t>
      </w:r>
      <w:proofErr w:type="gramEnd"/>
      <w:r w:rsidRPr="009D2E32">
        <w:rPr>
          <w:rFonts w:ascii="Times New Roman" w:eastAsia="Calibri" w:hAnsi="Times New Roman" w:cs="Times New Roman"/>
          <w:sz w:val="24"/>
          <w:szCs w:val="24"/>
          <w:lang w:val="en-CA"/>
        </w:rPr>
        <w:t xml:space="preserve">) Local and regional development: A global production network approach. </w:t>
      </w:r>
      <w:r w:rsidRPr="009D2E32">
        <w:rPr>
          <w:rFonts w:ascii="Times New Roman" w:eastAsia="Calibri" w:hAnsi="Times New Roman" w:cs="Times New Roman"/>
          <w:i/>
          <w:sz w:val="24"/>
          <w:szCs w:val="24"/>
          <w:lang w:val="en-CA"/>
        </w:rPr>
        <w:t xml:space="preserve">In: A Pike, A Rodríguez‐Pose, J </w:t>
      </w:r>
      <w:proofErr w:type="spellStart"/>
      <w:r w:rsidRPr="009D2E32">
        <w:rPr>
          <w:rFonts w:ascii="Times New Roman" w:eastAsia="Calibri" w:hAnsi="Times New Roman" w:cs="Times New Roman"/>
          <w:i/>
          <w:sz w:val="24"/>
          <w:szCs w:val="24"/>
          <w:lang w:val="en-CA"/>
        </w:rPr>
        <w:t>Tomaney</w:t>
      </w:r>
      <w:proofErr w:type="spellEnd"/>
      <w:r w:rsidRPr="009D2E32">
        <w:rPr>
          <w:rFonts w:ascii="Times New Roman" w:eastAsia="Calibri" w:hAnsi="Times New Roman" w:cs="Times New Roman"/>
          <w:i/>
          <w:sz w:val="24"/>
          <w:szCs w:val="24"/>
          <w:lang w:val="en-CA"/>
        </w:rPr>
        <w:t xml:space="preserve"> (</w:t>
      </w:r>
      <w:proofErr w:type="spellStart"/>
      <w:r w:rsidRPr="009D2E32">
        <w:rPr>
          <w:rFonts w:ascii="Times New Roman" w:eastAsia="Calibri" w:hAnsi="Times New Roman" w:cs="Times New Roman"/>
          <w:i/>
          <w:sz w:val="24"/>
          <w:szCs w:val="24"/>
          <w:lang w:val="en-CA"/>
        </w:rPr>
        <w:t>eds</w:t>
      </w:r>
      <w:proofErr w:type="spellEnd"/>
      <w:r w:rsidRPr="009D2E32">
        <w:rPr>
          <w:rFonts w:ascii="Times New Roman" w:eastAsia="Calibri" w:hAnsi="Times New Roman" w:cs="Times New Roman"/>
          <w:i/>
          <w:sz w:val="24"/>
          <w:szCs w:val="24"/>
          <w:lang w:val="en-CA"/>
        </w:rPr>
        <w:t>) Handbook of local and regional development</w:t>
      </w:r>
      <w:r w:rsidRPr="009D2E32">
        <w:rPr>
          <w:rFonts w:ascii="Times New Roman" w:eastAsia="Calibri" w:hAnsi="Times New Roman" w:cs="Times New Roman"/>
          <w:sz w:val="24"/>
          <w:szCs w:val="24"/>
          <w:lang w:val="en-CA"/>
        </w:rPr>
        <w:t xml:space="preserve">. </w:t>
      </w:r>
      <w:r w:rsidRPr="00D860DB">
        <w:rPr>
          <w:rFonts w:ascii="Times New Roman" w:eastAsia="Calibri" w:hAnsi="Times New Roman" w:cs="Times New Roman"/>
          <w:sz w:val="24"/>
          <w:szCs w:val="24"/>
          <w:lang w:val="en-CA"/>
        </w:rPr>
        <w:t>Routledge, London</w:t>
      </w:r>
    </w:p>
    <w:p w:rsidR="00D860DB" w:rsidRPr="009D2E32" w:rsidRDefault="00D860DB" w:rsidP="00D860DB">
      <w:pPr>
        <w:jc w:val="both"/>
        <w:rPr>
          <w:rFonts w:ascii="Times New Roman" w:eastAsia="Calibri" w:hAnsi="Times New Roman" w:cs="Times New Roman"/>
          <w:sz w:val="24"/>
          <w:szCs w:val="24"/>
          <w:lang w:val="en-CA"/>
        </w:rPr>
      </w:pPr>
      <w:r w:rsidRPr="009D2E32">
        <w:rPr>
          <w:rFonts w:ascii="Times New Roman" w:eastAsia="Calibri" w:hAnsi="Times New Roman" w:cs="Times New Roman"/>
          <w:sz w:val="24"/>
          <w:szCs w:val="24"/>
          <w:lang w:val="en-CA"/>
        </w:rPr>
        <w:t xml:space="preserve">de </w:t>
      </w:r>
      <w:proofErr w:type="spellStart"/>
      <w:r w:rsidRPr="009D2E32">
        <w:rPr>
          <w:rFonts w:ascii="Times New Roman" w:eastAsia="Calibri" w:hAnsi="Times New Roman" w:cs="Times New Roman"/>
          <w:sz w:val="24"/>
          <w:szCs w:val="24"/>
          <w:lang w:val="en-CA"/>
        </w:rPr>
        <w:t>Figueiredo</w:t>
      </w:r>
      <w:proofErr w:type="spellEnd"/>
      <w:r w:rsidRPr="009D2E32">
        <w:rPr>
          <w:rFonts w:ascii="Times New Roman" w:eastAsia="Calibri" w:hAnsi="Times New Roman" w:cs="Times New Roman"/>
          <w:sz w:val="24"/>
          <w:szCs w:val="24"/>
          <w:lang w:val="en-CA"/>
        </w:rPr>
        <w:t xml:space="preserve"> Junior, H.S., </w:t>
      </w:r>
      <w:proofErr w:type="spellStart"/>
      <w:r w:rsidRPr="009D2E32">
        <w:rPr>
          <w:rFonts w:ascii="Times New Roman" w:eastAsia="Calibri" w:hAnsi="Times New Roman" w:cs="Times New Roman"/>
          <w:sz w:val="24"/>
          <w:szCs w:val="24"/>
          <w:lang w:val="en-CA"/>
        </w:rPr>
        <w:t>Meuwissen</w:t>
      </w:r>
      <w:proofErr w:type="spellEnd"/>
      <w:r w:rsidRPr="009D2E32">
        <w:rPr>
          <w:rFonts w:ascii="Times New Roman" w:eastAsia="Calibri" w:hAnsi="Times New Roman" w:cs="Times New Roman"/>
          <w:sz w:val="24"/>
          <w:szCs w:val="24"/>
          <w:lang w:val="en-CA"/>
        </w:rPr>
        <w:t xml:space="preserve">, M.P.M., &amp; Oude </w:t>
      </w:r>
      <w:proofErr w:type="spellStart"/>
      <w:r w:rsidRPr="009D2E32">
        <w:rPr>
          <w:rFonts w:ascii="Times New Roman" w:eastAsia="Calibri" w:hAnsi="Times New Roman" w:cs="Times New Roman"/>
          <w:sz w:val="24"/>
          <w:szCs w:val="24"/>
          <w:lang w:val="en-CA"/>
        </w:rPr>
        <w:t>Lansik</w:t>
      </w:r>
      <w:proofErr w:type="spellEnd"/>
      <w:r w:rsidRPr="009D2E32">
        <w:rPr>
          <w:rFonts w:ascii="Times New Roman" w:eastAsia="Calibri" w:hAnsi="Times New Roman" w:cs="Times New Roman"/>
          <w:sz w:val="24"/>
          <w:szCs w:val="24"/>
          <w:lang w:val="en-CA"/>
        </w:rPr>
        <w:t xml:space="preserve">, A.G.J.M. (2016). Integrating structure, conduct and performance into value chain analysis. </w:t>
      </w:r>
      <w:r w:rsidRPr="009D2E32">
        <w:rPr>
          <w:rFonts w:ascii="Times New Roman" w:eastAsia="Calibri" w:hAnsi="Times New Roman" w:cs="Times New Roman"/>
          <w:i/>
          <w:sz w:val="24"/>
          <w:szCs w:val="24"/>
          <w:lang w:val="en-CA"/>
        </w:rPr>
        <w:t>Journal on Chain and Network Science</w:t>
      </w:r>
      <w:r w:rsidRPr="009D2E32">
        <w:rPr>
          <w:rFonts w:ascii="Times New Roman" w:eastAsia="Calibri" w:hAnsi="Times New Roman" w:cs="Times New Roman"/>
          <w:sz w:val="24"/>
          <w:szCs w:val="24"/>
          <w:lang w:val="en-CA"/>
        </w:rPr>
        <w:t xml:space="preserve">, </w:t>
      </w:r>
      <w:r w:rsidRPr="009D2E32">
        <w:rPr>
          <w:rFonts w:ascii="Times New Roman" w:eastAsia="Calibri" w:hAnsi="Times New Roman" w:cs="Times New Roman"/>
          <w:i/>
          <w:sz w:val="24"/>
          <w:szCs w:val="24"/>
          <w:lang w:val="en-CA"/>
        </w:rPr>
        <w:t>Vol 14</w:t>
      </w:r>
      <w:r w:rsidRPr="009D2E32">
        <w:rPr>
          <w:rFonts w:ascii="Times New Roman" w:eastAsia="Calibri" w:hAnsi="Times New Roman" w:cs="Times New Roman"/>
          <w:sz w:val="24"/>
          <w:szCs w:val="24"/>
          <w:lang w:val="en-CA"/>
        </w:rPr>
        <w:t>(1), 21-30.</w:t>
      </w:r>
    </w:p>
    <w:p w:rsidR="00D860DB" w:rsidRPr="009D2E32" w:rsidRDefault="00D860DB" w:rsidP="00D860DB">
      <w:pPr>
        <w:jc w:val="both"/>
        <w:rPr>
          <w:rFonts w:ascii="Times New Roman" w:eastAsia="Calibri" w:hAnsi="Times New Roman" w:cs="Times New Roman"/>
          <w:sz w:val="24"/>
          <w:szCs w:val="24"/>
          <w:lang w:val="en-CA"/>
        </w:rPr>
      </w:pPr>
      <w:r w:rsidRPr="00D860DB">
        <w:rPr>
          <w:rFonts w:ascii="Times New Roman" w:eastAsia="Calibri" w:hAnsi="Times New Roman" w:cs="Times New Roman"/>
          <w:sz w:val="24"/>
          <w:szCs w:val="24"/>
          <w:lang w:val="en-CA"/>
        </w:rPr>
        <w:t xml:space="preserve">Porter, M.E. (1980). </w:t>
      </w:r>
      <w:r w:rsidRPr="009D2E32">
        <w:rPr>
          <w:rFonts w:ascii="Times New Roman" w:eastAsia="Calibri" w:hAnsi="Times New Roman" w:cs="Times New Roman"/>
          <w:i/>
          <w:sz w:val="24"/>
          <w:szCs w:val="24"/>
          <w:lang w:val="en-CA"/>
        </w:rPr>
        <w:t>Competitive Strategy</w:t>
      </w:r>
      <w:r w:rsidRPr="009D2E32">
        <w:rPr>
          <w:rFonts w:ascii="Times New Roman" w:eastAsia="Calibri" w:hAnsi="Times New Roman" w:cs="Times New Roman"/>
          <w:sz w:val="24"/>
          <w:szCs w:val="24"/>
          <w:lang w:val="en-CA"/>
        </w:rPr>
        <w:t>. New York: Free Press, 396p.</w:t>
      </w:r>
    </w:p>
    <w:p w:rsidR="00D860DB" w:rsidRPr="009D2E32" w:rsidRDefault="00D860DB" w:rsidP="00D860DB">
      <w:pPr>
        <w:jc w:val="both"/>
        <w:rPr>
          <w:rFonts w:ascii="Times New Roman" w:eastAsia="Calibri" w:hAnsi="Times New Roman" w:cs="Times New Roman"/>
          <w:sz w:val="24"/>
          <w:szCs w:val="24"/>
          <w:lang w:val="en-CA"/>
        </w:rPr>
      </w:pPr>
      <w:r w:rsidRPr="009D2E32">
        <w:rPr>
          <w:rFonts w:ascii="Times New Roman" w:eastAsia="Calibri" w:hAnsi="Times New Roman" w:cs="Times New Roman"/>
          <w:sz w:val="24"/>
          <w:szCs w:val="24"/>
          <w:lang w:val="en-CA"/>
        </w:rPr>
        <w:t xml:space="preserve">Porter, M.E. (1990). The Competitive Advantage of Nations. </w:t>
      </w:r>
      <w:r w:rsidRPr="009D2E32">
        <w:rPr>
          <w:rFonts w:ascii="Times New Roman" w:eastAsia="Calibri" w:hAnsi="Times New Roman" w:cs="Times New Roman"/>
          <w:i/>
          <w:sz w:val="24"/>
          <w:szCs w:val="24"/>
          <w:lang w:val="en-CA"/>
        </w:rPr>
        <w:t>Harvard Business Review</w:t>
      </w:r>
      <w:r w:rsidRPr="009D2E32">
        <w:rPr>
          <w:rFonts w:ascii="Times New Roman" w:eastAsia="Calibri" w:hAnsi="Times New Roman" w:cs="Times New Roman"/>
          <w:sz w:val="24"/>
          <w:szCs w:val="24"/>
          <w:lang w:val="en-CA"/>
        </w:rPr>
        <w:t>, 74-91.</w:t>
      </w:r>
    </w:p>
    <w:p w:rsidR="00D860DB" w:rsidRPr="009D2E32" w:rsidRDefault="00D860DB" w:rsidP="00D860DB">
      <w:pPr>
        <w:jc w:val="both"/>
        <w:rPr>
          <w:rFonts w:ascii="Times New Roman" w:eastAsia="Calibri" w:hAnsi="Times New Roman" w:cs="Times New Roman"/>
          <w:sz w:val="24"/>
          <w:szCs w:val="24"/>
          <w:lang w:val="en-CA"/>
        </w:rPr>
      </w:pPr>
      <w:proofErr w:type="spellStart"/>
      <w:r w:rsidRPr="00560940">
        <w:rPr>
          <w:rFonts w:ascii="Times New Roman" w:eastAsia="Calibri" w:hAnsi="Times New Roman" w:cs="Times New Roman"/>
          <w:sz w:val="24"/>
          <w:szCs w:val="24"/>
          <w:lang w:val="en-CA"/>
        </w:rPr>
        <w:t>Stănciulescu</w:t>
      </w:r>
      <w:proofErr w:type="spellEnd"/>
      <w:r w:rsidRPr="00560940">
        <w:rPr>
          <w:rFonts w:ascii="Times New Roman" w:eastAsia="Calibri" w:hAnsi="Times New Roman" w:cs="Times New Roman"/>
          <w:sz w:val="24"/>
          <w:szCs w:val="24"/>
          <w:lang w:val="en-CA"/>
        </w:rPr>
        <w:t xml:space="preserve">, G.C., &amp; Molnar, </w:t>
      </w:r>
      <w:proofErr w:type="spellStart"/>
      <w:r w:rsidRPr="00560940">
        <w:rPr>
          <w:rFonts w:ascii="Times New Roman" w:eastAsia="Calibri" w:hAnsi="Times New Roman" w:cs="Times New Roman"/>
          <w:sz w:val="24"/>
          <w:szCs w:val="24"/>
          <w:lang w:val="en-CA"/>
        </w:rPr>
        <w:t>E.l</w:t>
      </w:r>
      <w:proofErr w:type="spellEnd"/>
      <w:r w:rsidRPr="00560940">
        <w:rPr>
          <w:rFonts w:ascii="Times New Roman" w:eastAsia="Calibri" w:hAnsi="Times New Roman" w:cs="Times New Roman"/>
          <w:sz w:val="24"/>
          <w:szCs w:val="24"/>
          <w:lang w:val="en-CA"/>
        </w:rPr>
        <w:t xml:space="preserve">. (2017). </w:t>
      </w:r>
      <w:r w:rsidRPr="009D2E32">
        <w:rPr>
          <w:rFonts w:ascii="Times New Roman" w:eastAsia="Calibri" w:hAnsi="Times New Roman" w:cs="Times New Roman"/>
          <w:sz w:val="24"/>
          <w:szCs w:val="24"/>
          <w:lang w:val="en-CA"/>
        </w:rPr>
        <w:t xml:space="preserve">Structure, conduct and performance paradigm in assessing travel agency performances. </w:t>
      </w:r>
      <w:r w:rsidRPr="009D2E32">
        <w:rPr>
          <w:rFonts w:ascii="Times New Roman" w:eastAsia="Calibri" w:hAnsi="Times New Roman" w:cs="Times New Roman"/>
          <w:i/>
          <w:sz w:val="24"/>
          <w:szCs w:val="24"/>
          <w:lang w:val="en-CA"/>
        </w:rPr>
        <w:t>Proceedings of the International Conference on Business Excellence, Vol 11</w:t>
      </w:r>
      <w:r w:rsidRPr="009D2E32">
        <w:rPr>
          <w:rFonts w:ascii="Times New Roman" w:eastAsia="Calibri" w:hAnsi="Times New Roman" w:cs="Times New Roman"/>
          <w:sz w:val="24"/>
          <w:szCs w:val="24"/>
          <w:lang w:val="en-CA"/>
        </w:rPr>
        <w:t>(1), 802-809.</w:t>
      </w:r>
    </w:p>
    <w:p w:rsidR="00303C68" w:rsidRPr="00303C68" w:rsidRDefault="00303C68" w:rsidP="00303C68">
      <w:pPr>
        <w:rPr>
          <w:rFonts w:ascii="Calibri" w:eastAsia="Calibri" w:hAnsi="Calibri" w:cs="Times New Roman"/>
          <w:lang w:val="en-CA"/>
        </w:rPr>
      </w:pPr>
    </w:p>
    <w:p w:rsidR="00303C68" w:rsidRPr="00303C68" w:rsidRDefault="00303C68" w:rsidP="00303C68">
      <w:pPr>
        <w:rPr>
          <w:lang w:val="en-CA"/>
        </w:rPr>
      </w:pPr>
    </w:p>
    <w:sectPr w:rsidR="00303C68" w:rsidRPr="00303C68" w:rsidSect="00DE0776">
      <w:headerReference w:type="even" r:id="rId25"/>
      <w:headerReference w:type="default" r:id="rId26"/>
      <w:footerReference w:type="default" r:id="rId27"/>
      <w:headerReference w:type="first" r:id="rId2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E5" w:rsidRDefault="00E419E5" w:rsidP="00DE0776">
      <w:pPr>
        <w:spacing w:after="0" w:line="240" w:lineRule="auto"/>
      </w:pPr>
      <w:r>
        <w:separator/>
      </w:r>
    </w:p>
  </w:endnote>
  <w:endnote w:type="continuationSeparator" w:id="0">
    <w:p w:rsidR="00E419E5" w:rsidRDefault="00E419E5" w:rsidP="00DE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137" w:rsidRDefault="00DD213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6182"/>
      <w:docPartObj>
        <w:docPartGallery w:val="Page Numbers (Bottom of Page)"/>
        <w:docPartUnique/>
      </w:docPartObj>
    </w:sdtPr>
    <w:sdtEndPr/>
    <w:sdtContent>
      <w:p w:rsidR="008905FF" w:rsidRDefault="008905FF">
        <w:pPr>
          <w:pStyle w:val="Pieddepage"/>
          <w:jc w:val="center"/>
        </w:pPr>
        <w:r>
          <w:fldChar w:fldCharType="begin"/>
        </w:r>
        <w:r>
          <w:instrText>PAGE   \* MERGEFORMAT</w:instrText>
        </w:r>
        <w:r>
          <w:fldChar w:fldCharType="separate"/>
        </w:r>
        <w:r w:rsidR="00DD2137">
          <w:rPr>
            <w:noProof/>
          </w:rPr>
          <w:t>v</w:t>
        </w:r>
        <w:r>
          <w:fldChar w:fldCharType="end"/>
        </w:r>
      </w:p>
    </w:sdtContent>
  </w:sdt>
  <w:p w:rsidR="008905FF" w:rsidRDefault="008905F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137" w:rsidRDefault="00DD213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068965"/>
      <w:docPartObj>
        <w:docPartGallery w:val="Page Numbers (Bottom of Page)"/>
        <w:docPartUnique/>
      </w:docPartObj>
    </w:sdtPr>
    <w:sdtEndPr/>
    <w:sdtContent>
      <w:p w:rsidR="008905FF" w:rsidRDefault="008905FF">
        <w:pPr>
          <w:pStyle w:val="Pieddepage"/>
          <w:jc w:val="center"/>
        </w:pPr>
        <w:r>
          <w:fldChar w:fldCharType="begin"/>
        </w:r>
        <w:r>
          <w:instrText>PAGE   \* MERGEFORMAT</w:instrText>
        </w:r>
        <w:r>
          <w:fldChar w:fldCharType="separate"/>
        </w:r>
        <w:r w:rsidR="00DD2137">
          <w:rPr>
            <w:noProof/>
          </w:rPr>
          <w:t>15</w:t>
        </w:r>
        <w:r>
          <w:fldChar w:fldCharType="end"/>
        </w:r>
      </w:p>
    </w:sdtContent>
  </w:sdt>
  <w:p w:rsidR="008905FF" w:rsidRDefault="008905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E5" w:rsidRDefault="00E419E5" w:rsidP="00DE0776">
      <w:pPr>
        <w:spacing w:after="0" w:line="240" w:lineRule="auto"/>
      </w:pPr>
      <w:r>
        <w:separator/>
      </w:r>
    </w:p>
  </w:footnote>
  <w:footnote w:type="continuationSeparator" w:id="0">
    <w:p w:rsidR="00E419E5" w:rsidRDefault="00E419E5" w:rsidP="00DE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137" w:rsidRDefault="00DD213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15pt;height:202.4pt;z-index:-251657216;mso-position-horizontal:center;mso-position-horizontal-relative:margin;mso-position-vertical:center;mso-position-vertical-relative:margin" o:allowincell="f">
          <v:imagedata r:id="rId1" o:title="Captur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137" w:rsidRDefault="00DD213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15pt;height:202.4pt;z-index:-251656192;mso-position-horizontal:center;mso-position-horizontal-relative:margin;mso-position-vertical:center;mso-position-vertical-relative:margin" o:allowincell="f">
          <v:imagedata r:id="rId1" o:title="Captur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137" w:rsidRDefault="00DD213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15pt;height:202.4pt;z-index:-251658240;mso-position-horizontal:center;mso-position-horizontal-relative:margin;mso-position-vertical:center;mso-position-vertical-relative:margin" o:allowincell="f">
          <v:imagedata r:id="rId1" o:title="Capture LOGO"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137" w:rsidRDefault="00DD213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3.15pt;height:202.4pt;z-index:-251654144;mso-position-horizontal:center;mso-position-horizontal-relative:margin;mso-position-vertical:center;mso-position-vertical-relative:margin" o:allowincell="f">
          <v:imagedata r:id="rId1" o:title="Capture L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137" w:rsidRDefault="00DD213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3.15pt;height:202.4pt;z-index:-251653120;mso-position-horizontal:center;mso-position-horizontal-relative:margin;mso-position-vertical:center;mso-position-vertical-relative:margin" o:allowincell="f">
          <v:imagedata r:id="rId1" o:title="Capture LOGO"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137" w:rsidRDefault="00DD2137">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53.15pt;height:202.4pt;z-index:-251655168;mso-position-horizontal:center;mso-position-horizontal-relative:margin;mso-position-vertical:center;mso-position-vertical-relative:margin" o:allowincell="f">
          <v:imagedata r:id="rId1" o:title="Captur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72B50"/>
    <w:multiLevelType w:val="hybridMultilevel"/>
    <w:tmpl w:val="9C7858DE"/>
    <w:lvl w:ilvl="0" w:tplc="C10C6AB8">
      <w:start w:val="5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001E75"/>
    <w:multiLevelType w:val="multilevel"/>
    <w:tmpl w:val="0C184C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2905793"/>
    <w:multiLevelType w:val="multilevel"/>
    <w:tmpl w:val="A5ECDBE8"/>
    <w:lvl w:ilvl="0">
      <w:start w:val="3"/>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F144D96"/>
    <w:multiLevelType w:val="hybridMultilevel"/>
    <w:tmpl w:val="E8BE84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1C0F82"/>
    <w:multiLevelType w:val="multilevel"/>
    <w:tmpl w:val="040C0029"/>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5">
    <w:nsid w:val="6A95266C"/>
    <w:multiLevelType w:val="hybridMultilevel"/>
    <w:tmpl w:val="49720910"/>
    <w:lvl w:ilvl="0" w:tplc="EC8435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8A7B2C"/>
    <w:multiLevelType w:val="hybridMultilevel"/>
    <w:tmpl w:val="E8BE84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884501"/>
    <w:multiLevelType w:val="hybridMultilevel"/>
    <w:tmpl w:val="E8BE84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CAF1896"/>
    <w:multiLevelType w:val="multilevel"/>
    <w:tmpl w:val="DA4A006E"/>
    <w:lvl w:ilvl="0">
      <w:start w:val="1"/>
      <w:numFmt w:val="decimal"/>
      <w:lvlText w:val="%1."/>
      <w:lvlJc w:val="left"/>
      <w:pPr>
        <w:ind w:left="720" w:hanging="360"/>
      </w:pPr>
      <w:rPr>
        <w:rFonts w:ascii="Times-Roman" w:eastAsiaTheme="minorHAnsi" w:hAnsi="Times-Roman" w:cstheme="minorBidi" w:hint="default"/>
        <w:color w:val="0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8"/>
  </w:num>
  <w:num w:numId="3">
    <w:abstractNumId w:val="3"/>
  </w:num>
  <w:num w:numId="4">
    <w:abstractNumId w:val="6"/>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4A"/>
    <w:rsid w:val="00005641"/>
    <w:rsid w:val="00037FCD"/>
    <w:rsid w:val="000E6F12"/>
    <w:rsid w:val="00105717"/>
    <w:rsid w:val="00155F8C"/>
    <w:rsid w:val="00176AB3"/>
    <w:rsid w:val="00184205"/>
    <w:rsid w:val="001A7E4C"/>
    <w:rsid w:val="001F1F04"/>
    <w:rsid w:val="00216768"/>
    <w:rsid w:val="00225D9A"/>
    <w:rsid w:val="002371FD"/>
    <w:rsid w:val="00272533"/>
    <w:rsid w:val="00293BC0"/>
    <w:rsid w:val="002A1845"/>
    <w:rsid w:val="002E23B7"/>
    <w:rsid w:val="002F387E"/>
    <w:rsid w:val="00303C68"/>
    <w:rsid w:val="003375C5"/>
    <w:rsid w:val="00363AA8"/>
    <w:rsid w:val="0037195E"/>
    <w:rsid w:val="00391E1B"/>
    <w:rsid w:val="003935C3"/>
    <w:rsid w:val="003A4C8F"/>
    <w:rsid w:val="003D62F0"/>
    <w:rsid w:val="003D6CDB"/>
    <w:rsid w:val="00417D33"/>
    <w:rsid w:val="0044635E"/>
    <w:rsid w:val="004479B7"/>
    <w:rsid w:val="00451D06"/>
    <w:rsid w:val="0045752E"/>
    <w:rsid w:val="00471494"/>
    <w:rsid w:val="0048202D"/>
    <w:rsid w:val="004D68ED"/>
    <w:rsid w:val="005162F0"/>
    <w:rsid w:val="00521AA4"/>
    <w:rsid w:val="00560940"/>
    <w:rsid w:val="005B594A"/>
    <w:rsid w:val="006663D5"/>
    <w:rsid w:val="006D1426"/>
    <w:rsid w:val="00793BBD"/>
    <w:rsid w:val="007A78A1"/>
    <w:rsid w:val="007B0919"/>
    <w:rsid w:val="007B63F8"/>
    <w:rsid w:val="007C2CDC"/>
    <w:rsid w:val="007E668E"/>
    <w:rsid w:val="00803078"/>
    <w:rsid w:val="00823CA1"/>
    <w:rsid w:val="00825BCD"/>
    <w:rsid w:val="008905FF"/>
    <w:rsid w:val="0089405F"/>
    <w:rsid w:val="008F1A5B"/>
    <w:rsid w:val="00900EA8"/>
    <w:rsid w:val="00965430"/>
    <w:rsid w:val="009B41DA"/>
    <w:rsid w:val="009C73A0"/>
    <w:rsid w:val="009E4E4C"/>
    <w:rsid w:val="00A07AFD"/>
    <w:rsid w:val="00A3490D"/>
    <w:rsid w:val="00A40C55"/>
    <w:rsid w:val="00A43CF6"/>
    <w:rsid w:val="00AB2B46"/>
    <w:rsid w:val="00B30761"/>
    <w:rsid w:val="00B64BB8"/>
    <w:rsid w:val="00B82D9D"/>
    <w:rsid w:val="00BA6111"/>
    <w:rsid w:val="00BC576A"/>
    <w:rsid w:val="00C03C9A"/>
    <w:rsid w:val="00C13249"/>
    <w:rsid w:val="00D82DCB"/>
    <w:rsid w:val="00D860DB"/>
    <w:rsid w:val="00DB3DEC"/>
    <w:rsid w:val="00DD2137"/>
    <w:rsid w:val="00DD4FFA"/>
    <w:rsid w:val="00DE0776"/>
    <w:rsid w:val="00E17A46"/>
    <w:rsid w:val="00E20B59"/>
    <w:rsid w:val="00E419E5"/>
    <w:rsid w:val="00E677B4"/>
    <w:rsid w:val="00EA5BB5"/>
    <w:rsid w:val="00EB19A7"/>
    <w:rsid w:val="00EB4D32"/>
    <w:rsid w:val="00EB558F"/>
    <w:rsid w:val="00EF6E47"/>
    <w:rsid w:val="00F10BDA"/>
    <w:rsid w:val="00F114D5"/>
    <w:rsid w:val="00F326C2"/>
    <w:rsid w:val="00F658E0"/>
    <w:rsid w:val="00F858E3"/>
    <w:rsid w:val="00F90D81"/>
    <w:rsid w:val="00FA1834"/>
    <w:rsid w:val="00FB6C97"/>
    <w:rsid w:val="00FF0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FC2C76A-B7BD-4F3D-8B0E-65BC83E0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4635E"/>
    <w:pPr>
      <w:keepNext/>
      <w:keepLines/>
      <w:numPr>
        <w:numId w:val="1"/>
      </w:numPr>
      <w:spacing w:before="240" w:after="240"/>
      <w:outlineLvl w:val="0"/>
    </w:pPr>
    <w:rPr>
      <w:rFonts w:ascii="Times New Roman" w:eastAsiaTheme="majorEastAsia" w:hAnsi="Times New Roman" w:cstheme="majorBidi"/>
      <w:color w:val="44546A" w:themeColor="text2"/>
      <w:sz w:val="32"/>
      <w:szCs w:val="32"/>
    </w:rPr>
  </w:style>
  <w:style w:type="paragraph" w:styleId="Titre2">
    <w:name w:val="heading 2"/>
    <w:basedOn w:val="Normal"/>
    <w:next w:val="Normal"/>
    <w:link w:val="Titre2Car"/>
    <w:uiPriority w:val="9"/>
    <w:unhideWhenUsed/>
    <w:qFormat/>
    <w:rsid w:val="0044635E"/>
    <w:pPr>
      <w:keepNext/>
      <w:keepLines/>
      <w:numPr>
        <w:ilvl w:val="1"/>
        <w:numId w:val="1"/>
      </w:numPr>
      <w:spacing w:before="240" w:after="240"/>
      <w:ind w:left="709"/>
      <w:outlineLvl w:val="1"/>
    </w:pPr>
    <w:rPr>
      <w:rFonts w:ascii="Times New Roman" w:eastAsiaTheme="majorEastAsia" w:hAnsi="Times New Roman" w:cstheme="majorBidi"/>
      <w:color w:val="44546A" w:themeColor="text2"/>
      <w:sz w:val="28"/>
      <w:szCs w:val="26"/>
    </w:rPr>
  </w:style>
  <w:style w:type="paragraph" w:styleId="Titre3">
    <w:name w:val="heading 3"/>
    <w:basedOn w:val="Normal"/>
    <w:next w:val="Normal"/>
    <w:link w:val="Titre3Car"/>
    <w:uiPriority w:val="9"/>
    <w:unhideWhenUsed/>
    <w:qFormat/>
    <w:rsid w:val="0044635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4635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4635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4635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4635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4635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4635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635E"/>
    <w:rPr>
      <w:rFonts w:ascii="Times New Roman" w:eastAsiaTheme="majorEastAsia" w:hAnsi="Times New Roman" w:cstheme="majorBidi"/>
      <w:color w:val="44546A" w:themeColor="text2"/>
      <w:sz w:val="32"/>
      <w:szCs w:val="32"/>
    </w:rPr>
  </w:style>
  <w:style w:type="character" w:customStyle="1" w:styleId="Titre2Car">
    <w:name w:val="Titre 2 Car"/>
    <w:basedOn w:val="Policepardfaut"/>
    <w:link w:val="Titre2"/>
    <w:uiPriority w:val="9"/>
    <w:rsid w:val="0044635E"/>
    <w:rPr>
      <w:rFonts w:ascii="Times New Roman" w:eastAsiaTheme="majorEastAsia" w:hAnsi="Times New Roman" w:cstheme="majorBidi"/>
      <w:color w:val="44546A" w:themeColor="text2"/>
      <w:sz w:val="28"/>
      <w:szCs w:val="26"/>
    </w:rPr>
  </w:style>
  <w:style w:type="character" w:customStyle="1" w:styleId="Titre3Car">
    <w:name w:val="Titre 3 Car"/>
    <w:basedOn w:val="Policepardfaut"/>
    <w:link w:val="Titre3"/>
    <w:uiPriority w:val="9"/>
    <w:semiHidden/>
    <w:rsid w:val="0044635E"/>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4635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4635E"/>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4635E"/>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4635E"/>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4635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4635E"/>
    <w:rPr>
      <w:rFonts w:asciiTheme="majorHAnsi" w:eastAsiaTheme="majorEastAsia" w:hAnsiTheme="majorHAnsi" w:cstheme="majorBidi"/>
      <w:i/>
      <w:iCs/>
      <w:color w:val="272727" w:themeColor="text1" w:themeTint="D8"/>
      <w:sz w:val="21"/>
      <w:szCs w:val="21"/>
    </w:rPr>
  </w:style>
  <w:style w:type="paragraph" w:customStyle="1" w:styleId="RapportPAPA">
    <w:name w:val="Rapport PAPA"/>
    <w:basedOn w:val="Normal"/>
    <w:qFormat/>
    <w:rsid w:val="00EA5BB5"/>
    <w:pPr>
      <w:spacing w:before="120" w:after="120" w:line="360" w:lineRule="auto"/>
      <w:jc w:val="both"/>
    </w:pPr>
    <w:rPr>
      <w:rFonts w:ascii="Times New Roman" w:eastAsia="Calibri" w:hAnsi="Times New Roman" w:cs="Times New Roman"/>
      <w:color w:val="000000"/>
      <w:sz w:val="24"/>
      <w:szCs w:val="24"/>
    </w:rPr>
  </w:style>
  <w:style w:type="character" w:styleId="Accentuation">
    <w:name w:val="Emphasis"/>
    <w:uiPriority w:val="20"/>
    <w:qFormat/>
    <w:rsid w:val="00BC576A"/>
    <w:rPr>
      <w:i/>
      <w:iCs/>
    </w:rPr>
  </w:style>
  <w:style w:type="character" w:customStyle="1" w:styleId="fontstyle01">
    <w:name w:val="fontstyle01"/>
    <w:basedOn w:val="Policepardfaut"/>
    <w:rsid w:val="00823CA1"/>
    <w:rPr>
      <w:rFonts w:ascii="Times-Roman" w:hAnsi="Times-Roman" w:hint="default"/>
      <w:b w:val="0"/>
      <w:bCs w:val="0"/>
      <w:i w:val="0"/>
      <w:iCs w:val="0"/>
      <w:color w:val="000000"/>
      <w:sz w:val="28"/>
      <w:szCs w:val="28"/>
    </w:rPr>
  </w:style>
  <w:style w:type="paragraph" w:customStyle="1" w:styleId="RapportPAPA0">
    <w:name w:val="Rapport_PAPA"/>
    <w:basedOn w:val="Normal"/>
    <w:qFormat/>
    <w:rsid w:val="00823CA1"/>
    <w:pPr>
      <w:spacing w:before="120" w:after="120" w:line="360" w:lineRule="auto"/>
      <w:jc w:val="both"/>
    </w:pPr>
    <w:rPr>
      <w:rFonts w:ascii="Times New Roman" w:hAnsi="Times New Roman" w:cs="Times New Roman"/>
      <w:sz w:val="24"/>
      <w:szCs w:val="24"/>
    </w:rPr>
  </w:style>
  <w:style w:type="paragraph" w:styleId="Paragraphedeliste">
    <w:name w:val="List Paragraph"/>
    <w:aliases w:val="List Tables,Bullets,Objectifs,Titre1,References,Liste 1,Numbered List Paragraph,ReferencesCxSpLast,List Paragraph (numbered (a)),Tiret lettres,List Paragraph,- List tir,liste 1,puce 1,Puces,List Bullet Mary,List Paragraph1,U 5,itens"/>
    <w:basedOn w:val="Normal"/>
    <w:link w:val="ParagraphedelisteCar"/>
    <w:uiPriority w:val="34"/>
    <w:qFormat/>
    <w:rsid w:val="00A07AFD"/>
    <w:pPr>
      <w:spacing w:after="200" w:line="276" w:lineRule="auto"/>
      <w:ind w:left="720"/>
      <w:contextualSpacing/>
    </w:pPr>
  </w:style>
  <w:style w:type="paragraph" w:styleId="Lgende">
    <w:name w:val="caption"/>
    <w:basedOn w:val="Normal"/>
    <w:next w:val="Normal"/>
    <w:uiPriority w:val="35"/>
    <w:unhideWhenUsed/>
    <w:qFormat/>
    <w:rsid w:val="00A07AFD"/>
    <w:pPr>
      <w:spacing w:after="120" w:line="240" w:lineRule="auto"/>
    </w:pPr>
    <w:rPr>
      <w:rFonts w:ascii="Times New Roman" w:hAnsi="Times New Roman"/>
      <w:iCs/>
      <w:sz w:val="24"/>
      <w:szCs w:val="18"/>
    </w:rPr>
  </w:style>
  <w:style w:type="table" w:styleId="TableauListe2-Accentuation6">
    <w:name w:val="List Table 2 Accent 6"/>
    <w:basedOn w:val="TableauNormal"/>
    <w:uiPriority w:val="47"/>
    <w:rsid w:val="00A07AFD"/>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aragraphedelisteCar">
    <w:name w:val="Paragraphe de liste Car"/>
    <w:aliases w:val="List Tables Car,Bullets Car,Objectifs Car,Titre1 Car,References Car,Liste 1 Car,Numbered List Paragraph Car,ReferencesCxSpLast Car,List Paragraph (numbered (a)) Car,Tiret lettres Car,List Paragraph Car,- List tir Car,liste 1 Car"/>
    <w:link w:val="Paragraphedeliste"/>
    <w:uiPriority w:val="34"/>
    <w:locked/>
    <w:rsid w:val="00A07AFD"/>
  </w:style>
  <w:style w:type="table" w:styleId="TableauGrille1Clair">
    <w:name w:val="Grid Table 1 Light"/>
    <w:basedOn w:val="TableauNormal"/>
    <w:uiPriority w:val="46"/>
    <w:rsid w:val="00A3490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utableau">
    <w:name w:val="Table Grid"/>
    <w:basedOn w:val="TableauNormal"/>
    <w:uiPriority w:val="39"/>
    <w:rsid w:val="003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1Clair1">
    <w:name w:val="Tableau Grille 1 Clair1"/>
    <w:basedOn w:val="TableauNormal"/>
    <w:next w:val="TableauGrille1Clair"/>
    <w:uiPriority w:val="46"/>
    <w:rsid w:val="003375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lledutableau6">
    <w:name w:val="Grille du tableau6"/>
    <w:basedOn w:val="TableauNormal"/>
    <w:next w:val="Grilledutableau"/>
    <w:uiPriority w:val="39"/>
    <w:rsid w:val="006D1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E0776"/>
    <w:pPr>
      <w:tabs>
        <w:tab w:val="center" w:pos="4536"/>
        <w:tab w:val="right" w:pos="9072"/>
      </w:tabs>
      <w:spacing w:after="0" w:line="240" w:lineRule="auto"/>
    </w:pPr>
  </w:style>
  <w:style w:type="character" w:customStyle="1" w:styleId="En-tteCar">
    <w:name w:val="En-tête Car"/>
    <w:basedOn w:val="Policepardfaut"/>
    <w:link w:val="En-tte"/>
    <w:uiPriority w:val="99"/>
    <w:rsid w:val="00DE0776"/>
  </w:style>
  <w:style w:type="paragraph" w:styleId="Pieddepage">
    <w:name w:val="footer"/>
    <w:basedOn w:val="Normal"/>
    <w:link w:val="PieddepageCar"/>
    <w:uiPriority w:val="99"/>
    <w:unhideWhenUsed/>
    <w:rsid w:val="00DE07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0776"/>
  </w:style>
  <w:style w:type="paragraph" w:styleId="Tabledesillustrations">
    <w:name w:val="table of figures"/>
    <w:basedOn w:val="Normal"/>
    <w:next w:val="Normal"/>
    <w:uiPriority w:val="99"/>
    <w:unhideWhenUsed/>
    <w:rsid w:val="00521AA4"/>
    <w:pPr>
      <w:spacing w:after="0"/>
    </w:pPr>
  </w:style>
  <w:style w:type="character" w:styleId="Lienhypertexte">
    <w:name w:val="Hyperlink"/>
    <w:basedOn w:val="Policepardfaut"/>
    <w:uiPriority w:val="99"/>
    <w:unhideWhenUsed/>
    <w:rsid w:val="00521AA4"/>
    <w:rPr>
      <w:color w:val="0563C1" w:themeColor="hyperlink"/>
      <w:u w:val="single"/>
    </w:rPr>
  </w:style>
  <w:style w:type="paragraph" w:styleId="TM1">
    <w:name w:val="toc 1"/>
    <w:basedOn w:val="Normal"/>
    <w:next w:val="Normal"/>
    <w:autoRedefine/>
    <w:uiPriority w:val="39"/>
    <w:unhideWhenUsed/>
    <w:rsid w:val="00363AA8"/>
    <w:pPr>
      <w:tabs>
        <w:tab w:val="right" w:leader="dot" w:pos="9062"/>
      </w:tabs>
      <w:spacing w:after="100"/>
    </w:pPr>
    <w:rPr>
      <w:rFonts w:ascii="Times New Roman" w:hAnsi="Times New Roman" w:cs="Times New Roman"/>
      <w:b/>
      <w:noProof/>
      <w:sz w:val="24"/>
      <w:szCs w:val="24"/>
    </w:rPr>
  </w:style>
  <w:style w:type="paragraph" w:styleId="TM2">
    <w:name w:val="toc 2"/>
    <w:basedOn w:val="Normal"/>
    <w:next w:val="Normal"/>
    <w:autoRedefine/>
    <w:uiPriority w:val="39"/>
    <w:unhideWhenUsed/>
    <w:rsid w:val="00521AA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de_calcul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de_calcul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Feuille_de_calcul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Feuille_de_calcul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iatou%20Ndiaye\Documents\ISRA\PAPA\cereales\commercialisation\Commercants_cereales_remplis_24janv2019.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Feuille_de_calcul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Feuille_de_calcul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Feuille_de_calcul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'2.2 '!$B$3</c:f>
              <c:strCache>
                <c:ptCount val="1"/>
                <c:pt idx="0">
                  <c:v>Démarrage </c:v>
                </c:pt>
              </c:strCache>
            </c:strRef>
          </c:tx>
          <c:spPr>
            <a:solidFill>
              <a:schemeClr val="accent1"/>
            </a:solidFill>
            <a:ln>
              <a:noFill/>
            </a:ln>
            <a:effectLst/>
          </c:spPr>
          <c:invertIfNegative val="0"/>
          <c:cat>
            <c:strRef>
              <c:f>'2.2 '!$A$50:$A$55</c:f>
              <c:strCache>
                <c:ptCount val="6"/>
                <c:pt idx="0">
                  <c:v>Mil</c:v>
                </c:pt>
                <c:pt idx="1">
                  <c:v>Mais</c:v>
                </c:pt>
                <c:pt idx="2">
                  <c:v>Sorgho</c:v>
                </c:pt>
                <c:pt idx="3">
                  <c:v>Fonio</c:v>
                </c:pt>
                <c:pt idx="4">
                  <c:v>Riz local</c:v>
                </c:pt>
                <c:pt idx="5">
                  <c:v>Riz importé</c:v>
                </c:pt>
              </c:strCache>
            </c:strRef>
          </c:cat>
          <c:val>
            <c:numRef>
              <c:f>'2.2 '!$B$50:$B$55</c:f>
              <c:numCache>
                <c:formatCode>0.000</c:formatCode>
                <c:ptCount val="6"/>
                <c:pt idx="0">
                  <c:v>57.4</c:v>
                </c:pt>
                <c:pt idx="1">
                  <c:v>52.9</c:v>
                </c:pt>
                <c:pt idx="2">
                  <c:v>24.1</c:v>
                </c:pt>
                <c:pt idx="3">
                  <c:v>3.4</c:v>
                </c:pt>
                <c:pt idx="4" formatCode="0.00">
                  <c:v>50.6</c:v>
                </c:pt>
                <c:pt idx="5" formatCode="0.00">
                  <c:v>78.099999999999994</c:v>
                </c:pt>
              </c:numCache>
            </c:numRef>
          </c:val>
          <c:extLst xmlns:c16r2="http://schemas.microsoft.com/office/drawing/2015/06/chart">
            <c:ext xmlns:c16="http://schemas.microsoft.com/office/drawing/2014/chart" uri="{C3380CC4-5D6E-409C-BE32-E72D297353CC}">
              <c16:uniqueId val="{00000000-379F-49B3-914E-CFE17819C2B3}"/>
            </c:ext>
          </c:extLst>
        </c:ser>
        <c:ser>
          <c:idx val="1"/>
          <c:order val="1"/>
          <c:tx>
            <c:strRef>
              <c:f>'2.2 '!$C$3</c:f>
              <c:strCache>
                <c:ptCount val="1"/>
                <c:pt idx="0">
                  <c:v>2018</c:v>
                </c:pt>
              </c:strCache>
            </c:strRef>
          </c:tx>
          <c:spPr>
            <a:solidFill>
              <a:schemeClr val="accent2"/>
            </a:solidFill>
            <a:ln>
              <a:noFill/>
            </a:ln>
            <a:effectLst/>
          </c:spPr>
          <c:invertIfNegative val="0"/>
          <c:cat>
            <c:strRef>
              <c:f>'2.2 '!$A$50:$A$55</c:f>
              <c:strCache>
                <c:ptCount val="6"/>
                <c:pt idx="0">
                  <c:v>Mil</c:v>
                </c:pt>
                <c:pt idx="1">
                  <c:v>Mais</c:v>
                </c:pt>
                <c:pt idx="2">
                  <c:v>Sorgho</c:v>
                </c:pt>
                <c:pt idx="3">
                  <c:v>Fonio</c:v>
                </c:pt>
                <c:pt idx="4">
                  <c:v>Riz local</c:v>
                </c:pt>
                <c:pt idx="5">
                  <c:v>Riz importé</c:v>
                </c:pt>
              </c:strCache>
            </c:strRef>
          </c:cat>
          <c:val>
            <c:numRef>
              <c:f>'2.2 '!$C$50:$C$55</c:f>
              <c:numCache>
                <c:formatCode>0.000</c:formatCode>
                <c:ptCount val="6"/>
                <c:pt idx="0">
                  <c:v>57.4</c:v>
                </c:pt>
                <c:pt idx="1">
                  <c:v>55.1</c:v>
                </c:pt>
                <c:pt idx="2">
                  <c:v>26.4</c:v>
                </c:pt>
                <c:pt idx="3">
                  <c:v>3.4</c:v>
                </c:pt>
                <c:pt idx="4" formatCode="0.00">
                  <c:v>62</c:v>
                </c:pt>
                <c:pt idx="5" formatCode="0.00">
                  <c:v>77</c:v>
                </c:pt>
              </c:numCache>
            </c:numRef>
          </c:val>
          <c:extLst xmlns:c16r2="http://schemas.microsoft.com/office/drawing/2015/06/chart">
            <c:ext xmlns:c16="http://schemas.microsoft.com/office/drawing/2014/chart" uri="{C3380CC4-5D6E-409C-BE32-E72D297353CC}">
              <c16:uniqueId val="{00000001-379F-49B3-914E-CFE17819C2B3}"/>
            </c:ext>
          </c:extLst>
        </c:ser>
        <c:dLbls>
          <c:showLegendKey val="0"/>
          <c:showVal val="0"/>
          <c:showCatName val="0"/>
          <c:showSerName val="0"/>
          <c:showPercent val="0"/>
          <c:showBubbleSize val="0"/>
        </c:dLbls>
        <c:gapWidth val="219"/>
        <c:overlap val="-27"/>
        <c:axId val="720415104"/>
        <c:axId val="720418632"/>
      </c:barChart>
      <c:catAx>
        <c:axId val="720415104"/>
        <c:scaling>
          <c:orientation val="minMax"/>
        </c:scaling>
        <c:delete val="0"/>
        <c:axPos val="b"/>
        <c:title>
          <c:tx>
            <c:rich>
              <a:bodyPr/>
              <a:lstStyle/>
              <a:p>
                <a:pPr>
                  <a:defRPr sz="991" b="0" i="0" u="none" strike="noStrike" baseline="0">
                    <a:solidFill>
                      <a:srgbClr val="333333"/>
                    </a:solidFill>
                    <a:latin typeface="Calibri"/>
                    <a:ea typeface="Calibri"/>
                    <a:cs typeface="Calibri"/>
                  </a:defRPr>
                </a:pPr>
                <a:r>
                  <a:rPr lang="fr-FR"/>
                  <a:t>Céréales vendues</a:t>
                </a:r>
              </a:p>
            </c:rich>
          </c:tx>
          <c:overlay val="0"/>
          <c:spPr>
            <a:noFill/>
            <a:ln>
              <a:noFill/>
            </a:ln>
            <a:effectLst/>
          </c:spPr>
        </c:title>
        <c:numFmt formatCode="General" sourceLinked="1"/>
        <c:majorTickMark val="none"/>
        <c:minorTickMark val="none"/>
        <c:tickLblPos val="nextTo"/>
        <c:spPr>
          <a:noFill/>
          <a:ln w="9437" cap="flat" cmpd="sng" algn="ctr">
            <a:solidFill>
              <a:schemeClr val="tx1">
                <a:lumMod val="15000"/>
                <a:lumOff val="85000"/>
              </a:schemeClr>
            </a:solidFill>
            <a:round/>
          </a:ln>
          <a:effectLst/>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fr-FR"/>
          </a:p>
        </c:txPr>
        <c:crossAx val="720418632"/>
        <c:crosses val="autoZero"/>
        <c:auto val="1"/>
        <c:lblAlgn val="ctr"/>
        <c:lblOffset val="100"/>
        <c:noMultiLvlLbl val="0"/>
      </c:catAx>
      <c:valAx>
        <c:axId val="720418632"/>
        <c:scaling>
          <c:orientation val="minMax"/>
        </c:scaling>
        <c:delete val="0"/>
        <c:axPos val="l"/>
        <c:majorGridlines>
          <c:spPr>
            <a:ln w="9437" cap="flat" cmpd="sng" algn="ctr">
              <a:solidFill>
                <a:schemeClr val="tx1">
                  <a:lumMod val="15000"/>
                  <a:lumOff val="85000"/>
                </a:schemeClr>
              </a:solidFill>
              <a:round/>
            </a:ln>
            <a:effectLst/>
          </c:spPr>
        </c:majorGridlines>
        <c:title>
          <c:tx>
            <c:rich>
              <a:bodyPr/>
              <a:lstStyle/>
              <a:p>
                <a:pPr>
                  <a:defRPr sz="991" b="0" i="0" u="none" strike="noStrike" baseline="0">
                    <a:solidFill>
                      <a:srgbClr val="333333"/>
                    </a:solidFill>
                    <a:latin typeface="Calibri"/>
                    <a:ea typeface="Calibri"/>
                    <a:cs typeface="Calibri"/>
                  </a:defRPr>
                </a:pPr>
                <a:r>
                  <a:rPr lang="fr-FR"/>
                  <a:t>Proportion de détaillants</a:t>
                </a:r>
              </a:p>
            </c:rich>
          </c:tx>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fr-FR"/>
          </a:p>
        </c:txPr>
        <c:crossAx val="720415104"/>
        <c:crosses val="autoZero"/>
        <c:crossBetween val="between"/>
      </c:valAx>
      <c:spPr>
        <a:noFill/>
        <a:ln w="25166">
          <a:noFill/>
        </a:ln>
      </c:spPr>
    </c:plotArea>
    <c:legend>
      <c:legendPos val="b"/>
      <c:overlay val="0"/>
      <c:spPr>
        <a:noFill/>
        <a:ln>
          <a:noFill/>
        </a:ln>
        <a:effectLst/>
      </c:spPr>
      <c:txPr>
        <a:bodyPr rot="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437"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A15-4EAF-8BC8-0A27AB7078E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A15-4EAF-8BC8-0A27AB7078E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A15-4EAF-8BC8-0A27AB7078E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3"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52">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'2.2 '!$A$27:$A$29</c:f>
              <c:strCache>
                <c:ptCount val="3"/>
                <c:pt idx="0">
                  <c:v>Entreprises individuelles </c:v>
                </c:pt>
                <c:pt idx="1">
                  <c:v>Entreprises collectives</c:v>
                </c:pt>
                <c:pt idx="2">
                  <c:v>Entreprises familiales</c:v>
                </c:pt>
              </c:strCache>
            </c:strRef>
          </c:cat>
          <c:val>
            <c:numRef>
              <c:f>'2.2 '!$D$27:$D$29</c:f>
              <c:numCache>
                <c:formatCode>General</c:formatCode>
                <c:ptCount val="3"/>
                <c:pt idx="0">
                  <c:v>86.43</c:v>
                </c:pt>
                <c:pt idx="1">
                  <c:v>2.75</c:v>
                </c:pt>
                <c:pt idx="2">
                  <c:v>10.82</c:v>
                </c:pt>
              </c:numCache>
            </c:numRef>
          </c:val>
          <c:extLst xmlns:c16r2="http://schemas.microsoft.com/office/drawing/2015/06/chart">
            <c:ext xmlns:c16="http://schemas.microsoft.com/office/drawing/2014/chart" uri="{C3380CC4-5D6E-409C-BE32-E72D297353CC}">
              <c16:uniqueId val="{00000006-6A15-4EAF-8BC8-0A27AB7078E8}"/>
            </c:ext>
          </c:extLst>
        </c:ser>
        <c:dLbls>
          <c:showLegendKey val="0"/>
          <c:showVal val="0"/>
          <c:showCatName val="0"/>
          <c:showSerName val="0"/>
          <c:showPercent val="0"/>
          <c:showBubbleSize val="0"/>
          <c:showLeaderLines val="1"/>
        </c:dLbls>
        <c:firstSliceAng val="0"/>
      </c:pieChart>
      <c:spPr>
        <a:noFill/>
        <a:ln w="25472">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3"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52" cap="flat" cmpd="sng" algn="ctr">
      <a:solidFill>
        <a:schemeClr val="dk1">
          <a:lumMod val="25000"/>
          <a:lumOff val="75000"/>
        </a:schemeClr>
      </a:solidFill>
      <a:round/>
    </a:ln>
    <a:effectLst/>
  </c:spPr>
  <c:txPr>
    <a:bodyPr/>
    <a:lstStyle/>
    <a:p>
      <a:pPr>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FAF-4604-95C0-3D9DF878DE56}"/>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FAF-4604-95C0-3D9DF878DE56}"/>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FAF-4604-95C0-3D9DF878DE5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15"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66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'2.2 '!$A$27:$A$29</c:f>
              <c:strCache>
                <c:ptCount val="3"/>
                <c:pt idx="0">
                  <c:v>Entreprises individuelles </c:v>
                </c:pt>
                <c:pt idx="1">
                  <c:v>Entreprises collectives</c:v>
                </c:pt>
                <c:pt idx="2">
                  <c:v>Entreprises familiales</c:v>
                </c:pt>
              </c:strCache>
            </c:strRef>
          </c:cat>
          <c:val>
            <c:numRef>
              <c:f>'2.2 '!$E$27:$E$29</c:f>
              <c:numCache>
                <c:formatCode>General</c:formatCode>
                <c:ptCount val="3"/>
                <c:pt idx="0">
                  <c:v>85.91</c:v>
                </c:pt>
                <c:pt idx="1">
                  <c:v>3.61</c:v>
                </c:pt>
                <c:pt idx="2">
                  <c:v>10.48</c:v>
                </c:pt>
              </c:numCache>
            </c:numRef>
          </c:val>
          <c:extLst xmlns:c16r2="http://schemas.microsoft.com/office/drawing/2015/06/chart">
            <c:ext xmlns:c16="http://schemas.microsoft.com/office/drawing/2014/chart" uri="{C3380CC4-5D6E-409C-BE32-E72D297353CC}">
              <c16:uniqueId val="{00000006-2FAF-4604-95C0-3D9DF878DE56}"/>
            </c:ext>
          </c:extLst>
        </c:ser>
        <c:dLbls>
          <c:showLegendKey val="0"/>
          <c:showVal val="0"/>
          <c:showCatName val="0"/>
          <c:showSerName val="0"/>
          <c:showPercent val="0"/>
          <c:showBubbleSize val="0"/>
          <c:showLeaderLines val="1"/>
        </c:dLbls>
        <c:firstSliceAng val="0"/>
      </c:pieChart>
      <c:spPr>
        <a:noFill/>
        <a:ln w="25774">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13"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665" cap="flat" cmpd="sng" algn="ctr">
      <a:solidFill>
        <a:schemeClr val="dk1">
          <a:lumMod val="25000"/>
          <a:lumOff val="75000"/>
        </a:schemeClr>
      </a:solidFill>
      <a:round/>
    </a:ln>
    <a:effectLst/>
  </c:spPr>
  <c:txPr>
    <a:bodyPr/>
    <a:lstStyle/>
    <a:p>
      <a:pPr>
        <a:defRPr/>
      </a:pPr>
      <a:endParaRPr lang="fr-F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8868047545012264E-3"/>
          <c:y val="0.19463940929797569"/>
          <c:w val="0.63065215574167877"/>
          <c:h val="0.71129589404772675"/>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202-4EAC-BC3F-283131657F94}"/>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202-4EAC-BC3F-283131657F94}"/>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202-4EAC-BC3F-283131657F94}"/>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202-4EAC-BC3F-283131657F94}"/>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202-4EAC-BC3F-283131657F94}"/>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3202-4EAC-BC3F-283131657F94}"/>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3202-4EAC-BC3F-283131657F9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9" b="1" i="0" u="none" strike="noStrike" kern="1200" baseline="0">
                    <a:solidFill>
                      <a:schemeClr val="lt1"/>
                    </a:solidFill>
                    <a:latin typeface="+mn-lt"/>
                    <a:ea typeface="+mn-ea"/>
                    <a:cs typeface="+mn-cs"/>
                  </a:defRPr>
                </a:pPr>
                <a:endParaRPr lang="fr-FR"/>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'2.2 '!$A$42:$A$48</c:f>
              <c:strCache>
                <c:ptCount val="7"/>
                <c:pt idx="0">
                  <c:v>SUARL</c:v>
                </c:pt>
                <c:pt idx="1">
                  <c:v>GIE</c:v>
                </c:pt>
                <c:pt idx="2">
                  <c:v>SARL</c:v>
                </c:pt>
                <c:pt idx="3">
                  <c:v>SA</c:v>
                </c:pt>
                <c:pt idx="4">
                  <c:v>Association</c:v>
                </c:pt>
                <c:pt idx="5">
                  <c:v>Entreprise individuelle</c:v>
                </c:pt>
                <c:pt idx="6">
                  <c:v>SAS</c:v>
                </c:pt>
              </c:strCache>
            </c:strRef>
          </c:cat>
          <c:val>
            <c:numRef>
              <c:f>'2.2 '!$D$42:$D$48</c:f>
              <c:numCache>
                <c:formatCode>General</c:formatCode>
                <c:ptCount val="7"/>
                <c:pt idx="0">
                  <c:v>3.8</c:v>
                </c:pt>
                <c:pt idx="1">
                  <c:v>3.8</c:v>
                </c:pt>
                <c:pt idx="2">
                  <c:v>3.16</c:v>
                </c:pt>
                <c:pt idx="3">
                  <c:v>10.130000000000001</c:v>
                </c:pt>
                <c:pt idx="4">
                  <c:v>1.9</c:v>
                </c:pt>
                <c:pt idx="5">
                  <c:v>76.58</c:v>
                </c:pt>
                <c:pt idx="6">
                  <c:v>0.63</c:v>
                </c:pt>
              </c:numCache>
            </c:numRef>
          </c:val>
          <c:extLst xmlns:c16r2="http://schemas.microsoft.com/office/drawing/2015/06/chart">
            <c:ext xmlns:c16="http://schemas.microsoft.com/office/drawing/2014/chart" uri="{C3380CC4-5D6E-409C-BE32-E72D297353CC}">
              <c16:uniqueId val="{0000000E-3202-4EAC-BC3F-283131657F94}"/>
            </c:ext>
          </c:extLst>
        </c:ser>
        <c:dLbls>
          <c:showLegendKey val="0"/>
          <c:showVal val="0"/>
          <c:showCatName val="0"/>
          <c:showSerName val="0"/>
          <c:showPercent val="0"/>
          <c:showBubbleSize val="0"/>
          <c:showLeaderLines val="0"/>
        </c:dLbls>
        <c:firstSliceAng val="0"/>
        <c:holeSize val="50"/>
      </c:doughnutChart>
      <c:spPr>
        <a:noFill/>
        <a:ln w="25634">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8"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613" cap="flat" cmpd="sng" algn="ctr">
      <a:solidFill>
        <a:schemeClr val="dk1">
          <a:lumMod val="25000"/>
          <a:lumOff val="75000"/>
        </a:schemeClr>
      </a:solidFill>
      <a:round/>
    </a:ln>
    <a:effectLst/>
  </c:spPr>
  <c:txPr>
    <a:bodyPr/>
    <a:lstStyle/>
    <a:p>
      <a:pPr>
        <a:defRPr/>
      </a:pPr>
      <a:endParaRPr lang="fr-F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605734767025085E-3"/>
          <c:y val="0.19167609436751443"/>
          <c:w val="0.6485486693195609"/>
          <c:h val="0.69327616375539269"/>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E17-4ABC-9BE6-E519424CF2D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E17-4ABC-9BE6-E519424CF2D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E17-4ABC-9BE6-E519424CF2D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E17-4ABC-9BE6-E519424CF2D7}"/>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0E17-4ABC-9BE6-E519424CF2D7}"/>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0E17-4ABC-9BE6-E519424CF2D7}"/>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0E17-4ABC-9BE6-E519424CF2D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9" b="1" i="0" u="none" strike="noStrike" kern="1200" baseline="0">
                    <a:solidFill>
                      <a:schemeClr val="lt1"/>
                    </a:solidFill>
                    <a:latin typeface="+mn-lt"/>
                    <a:ea typeface="+mn-ea"/>
                    <a:cs typeface="+mn-cs"/>
                  </a:defRPr>
                </a:pPr>
                <a:endParaRPr lang="fr-FR"/>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'2.2 '!$A$42:$A$48</c:f>
              <c:strCache>
                <c:ptCount val="7"/>
                <c:pt idx="0">
                  <c:v>SUARL</c:v>
                </c:pt>
                <c:pt idx="1">
                  <c:v>GIE</c:v>
                </c:pt>
                <c:pt idx="2">
                  <c:v>SARL</c:v>
                </c:pt>
                <c:pt idx="3">
                  <c:v>SA</c:v>
                </c:pt>
                <c:pt idx="4">
                  <c:v>Association</c:v>
                </c:pt>
                <c:pt idx="5">
                  <c:v>Entreprise individuelle</c:v>
                </c:pt>
                <c:pt idx="6">
                  <c:v>SAS</c:v>
                </c:pt>
              </c:strCache>
            </c:strRef>
          </c:cat>
          <c:val>
            <c:numRef>
              <c:f>'2.2 '!$E$42:$E$48</c:f>
              <c:numCache>
                <c:formatCode>General</c:formatCode>
                <c:ptCount val="7"/>
                <c:pt idx="0">
                  <c:v>4.04</c:v>
                </c:pt>
                <c:pt idx="1">
                  <c:v>5.38</c:v>
                </c:pt>
                <c:pt idx="2">
                  <c:v>1.35</c:v>
                </c:pt>
                <c:pt idx="3">
                  <c:v>9.8699999999999992</c:v>
                </c:pt>
                <c:pt idx="4">
                  <c:v>2.69</c:v>
                </c:pt>
                <c:pt idx="5">
                  <c:v>76.23</c:v>
                </c:pt>
                <c:pt idx="6">
                  <c:v>0.45</c:v>
                </c:pt>
              </c:numCache>
            </c:numRef>
          </c:val>
          <c:extLst xmlns:c16r2="http://schemas.microsoft.com/office/drawing/2015/06/chart">
            <c:ext xmlns:c16="http://schemas.microsoft.com/office/drawing/2014/chart" uri="{C3380CC4-5D6E-409C-BE32-E72D297353CC}">
              <c16:uniqueId val="{0000000E-0E17-4ABC-9BE6-E519424CF2D7}"/>
            </c:ext>
          </c:extLst>
        </c:ser>
        <c:dLbls>
          <c:showLegendKey val="0"/>
          <c:showVal val="0"/>
          <c:showCatName val="0"/>
          <c:showSerName val="0"/>
          <c:showPercent val="0"/>
          <c:showBubbleSize val="0"/>
          <c:showLeaderLines val="0"/>
        </c:dLbls>
        <c:firstSliceAng val="0"/>
        <c:holeSize val="50"/>
      </c:doughnutChart>
      <c:spPr>
        <a:noFill/>
        <a:ln w="25618">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8"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607" cap="flat" cmpd="sng" algn="ctr">
      <a:solidFill>
        <a:schemeClr val="dk1">
          <a:lumMod val="25000"/>
          <a:lumOff val="75000"/>
        </a:schemeClr>
      </a:solidFill>
      <a:round/>
    </a:ln>
    <a:effectLst/>
  </c:spPr>
  <c:txPr>
    <a:bodyPr/>
    <a:lstStyle/>
    <a:p>
      <a:pPr>
        <a:defRPr/>
      </a:pPr>
      <a:endParaRPr lang="fr-F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182492111671197"/>
          <c:y val="4.1666666666666699E-2"/>
          <c:w val="0.50637022371734397"/>
          <c:h val="0.84167468649752097"/>
        </c:manualLayout>
      </c:layout>
      <c:barChart>
        <c:barDir val="bar"/>
        <c:grouping val="clustered"/>
        <c:varyColors val="0"/>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cat>
            <c:strRef>
              <c:f>'2.2 '!$G$9:$G$23</c:f>
              <c:strCache>
                <c:ptCount val="15"/>
                <c:pt idx="0">
                  <c:v>Revenus propres provenant d’une activité non agricole réalisée au Sénégal</c:v>
                </c:pt>
                <c:pt idx="1">
                  <c:v>Revenus propres provenant d’une activité agricole réalisée au Sénégal </c:v>
                </c:pt>
                <c:pt idx="2">
                  <c:v>Revenus propres provenant de la migration </c:v>
                </c:pt>
                <c:pt idx="3">
                  <c:v>Prêt du gouvernement </c:v>
                </c:pt>
                <c:pt idx="4">
                  <c:v>Prêt de la banque </c:v>
                </c:pt>
                <c:pt idx="5">
                  <c:v>Prêt des grossistes </c:v>
                </c:pt>
                <c:pt idx="6">
                  <c:v>Prêt des détaillants </c:v>
                </c:pt>
                <c:pt idx="7">
                  <c:v>Prêt de l’association des transformateurs</c:v>
                </c:pt>
                <c:pt idx="8">
                  <c:v>Prêt des ONG</c:v>
                </c:pt>
                <c:pt idx="9">
                  <c:v>Prêt d’un SFD </c:v>
                </c:pt>
                <c:pt idx="10">
                  <c:v>Prêt des amis et de la famille </c:v>
                </c:pt>
                <c:pt idx="11">
                  <c:v>Dons des amis et de la famille </c:v>
                </c:pt>
                <c:pt idx="12">
                  <c:v>Autres Dons </c:v>
                </c:pt>
                <c:pt idx="13">
                  <c:v>Tontines </c:v>
                </c:pt>
                <c:pt idx="14">
                  <c:v>Héritage</c:v>
                </c:pt>
              </c:strCache>
            </c:strRef>
          </c:cat>
          <c:val>
            <c:numRef>
              <c:f>'2.2 '!$H$9:$H$23</c:f>
              <c:numCache>
                <c:formatCode>General</c:formatCode>
                <c:ptCount val="15"/>
                <c:pt idx="0">
                  <c:v>69.069999999999993</c:v>
                </c:pt>
                <c:pt idx="1">
                  <c:v>10.31</c:v>
                </c:pt>
                <c:pt idx="2">
                  <c:v>4.1199999999999983</c:v>
                </c:pt>
                <c:pt idx="3">
                  <c:v>0</c:v>
                </c:pt>
                <c:pt idx="4">
                  <c:v>1.55</c:v>
                </c:pt>
                <c:pt idx="5">
                  <c:v>3.09</c:v>
                </c:pt>
                <c:pt idx="6">
                  <c:v>0.34</c:v>
                </c:pt>
                <c:pt idx="7">
                  <c:v>0</c:v>
                </c:pt>
                <c:pt idx="8">
                  <c:v>0</c:v>
                </c:pt>
                <c:pt idx="9">
                  <c:v>0</c:v>
                </c:pt>
                <c:pt idx="10">
                  <c:v>13.4</c:v>
                </c:pt>
                <c:pt idx="11">
                  <c:v>14.09</c:v>
                </c:pt>
                <c:pt idx="12">
                  <c:v>2.23</c:v>
                </c:pt>
                <c:pt idx="13">
                  <c:v>0.69</c:v>
                </c:pt>
                <c:pt idx="14">
                  <c:v>1.89</c:v>
                </c:pt>
              </c:numCache>
            </c:numRef>
          </c:val>
          <c:extLst xmlns:c16r2="http://schemas.microsoft.com/office/drawing/2015/06/chart">
            <c:ext xmlns:c16="http://schemas.microsoft.com/office/drawing/2014/chart" uri="{C3380CC4-5D6E-409C-BE32-E72D297353CC}">
              <c16:uniqueId val="{00000000-2BF4-40BF-9403-1C014013ADBA}"/>
            </c:ext>
          </c:extLst>
        </c:ser>
        <c:dLbls>
          <c:showLegendKey val="0"/>
          <c:showVal val="0"/>
          <c:showCatName val="0"/>
          <c:showSerName val="0"/>
          <c:showPercent val="0"/>
          <c:showBubbleSize val="0"/>
        </c:dLbls>
        <c:gapWidth val="227"/>
        <c:overlap val="-48"/>
        <c:axId val="720417064"/>
        <c:axId val="450869528"/>
      </c:barChart>
      <c:catAx>
        <c:axId val="72041706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450869528"/>
        <c:crosses val="autoZero"/>
        <c:auto val="1"/>
        <c:lblAlgn val="ctr"/>
        <c:lblOffset val="100"/>
        <c:noMultiLvlLbl val="0"/>
      </c:catAx>
      <c:valAx>
        <c:axId val="450869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20417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1"/>
            </a:solidFill>
            <a:ln>
              <a:noFill/>
            </a:ln>
            <a:effectLst/>
          </c:spPr>
          <c:invertIfNegative val="0"/>
          <c:cat>
            <c:strRef>
              <c:f>Feuil2!$B$4:$B$36</c:f>
              <c:strCache>
                <c:ptCount val="33"/>
                <c:pt idx="0">
                  <c:v>Mil grain</c:v>
                </c:pt>
                <c:pt idx="1">
                  <c:v>Riz blanc brise ordinaire importe</c:v>
                </c:pt>
                <c:pt idx="2">
                  <c:v>Mais grain</c:v>
                </c:pt>
                <c:pt idx="3">
                  <c:v>Riz blanc brise parfume importe</c:v>
                </c:pt>
                <c:pt idx="4">
                  <c:v>Riz blanc entier ordinaire local</c:v>
                </c:pt>
                <c:pt idx="5">
                  <c:v>Riz blanc entier ordinaire importe</c:v>
                </c:pt>
                <c:pt idx="6">
                  <c:v>Riz blanc brise ordinaire local</c:v>
                </c:pt>
                <c:pt idx="7">
                  <c:v>Sankhal de mil</c:v>
                </c:pt>
                <c:pt idx="8">
                  <c:v>Sorgho grain</c:v>
                </c:pt>
                <c:pt idx="9">
                  <c:v>Riz blanc entier parfume importe</c:v>
                </c:pt>
                <c:pt idx="10">
                  <c:v>Arraw de mil</c:v>
                </c:pt>
                <c:pt idx="11">
                  <c:v>Thiakry brut de mil</c:v>
                </c:pt>
                <c:pt idx="12">
                  <c:v>Thiakry brut de mil</c:v>
                </c:pt>
                <c:pt idx="13">
                  <c:v>Brisures de mais</c:v>
                </c:pt>
                <c:pt idx="14">
                  <c:v>Riz blanc brise aromatique local</c:v>
                </c:pt>
                <c:pt idx="15">
                  <c:v>Farine de mil</c:v>
                </c:pt>
                <c:pt idx="16">
                  <c:v>Fonio grain</c:v>
                </c:pt>
                <c:pt idx="17">
                  <c:v>Riz blanc entier aromatique local</c:v>
                </c:pt>
                <c:pt idx="18">
                  <c:v>Thiakry de mil mélangé avec du lait caillé</c:v>
                </c:pt>
                <c:pt idx="19">
                  <c:v>Riz blanc intermédiaire ordinaire local</c:v>
                </c:pt>
                <c:pt idx="20">
                  <c:v>Farine de mais</c:v>
                </c:pt>
                <c:pt idx="21">
                  <c:v>Arraw de riz</c:v>
                </c:pt>
                <c:pt idx="22">
                  <c:v>Thiakry brut de mais</c:v>
                </c:pt>
                <c:pt idx="23">
                  <c:v>Farine de riz</c:v>
                </c:pt>
                <c:pt idx="24">
                  <c:v>Couscous de riz</c:v>
                </c:pt>
                <c:pt idx="25">
                  <c:v>Arraw de mais</c:v>
                </c:pt>
                <c:pt idx="26">
                  <c:v>Thiéré brut de mais</c:v>
                </c:pt>
                <c:pt idx="27">
                  <c:v>Paddy ordinaire</c:v>
                </c:pt>
                <c:pt idx="28">
                  <c:v>Pop corn (mais)</c:v>
                </c:pt>
                <c:pt idx="29">
                  <c:v>Thiakry de brut riz</c:v>
                </c:pt>
                <c:pt idx="30">
                  <c:v>Brisures de riz</c:v>
                </c:pt>
                <c:pt idx="31">
                  <c:v>Brisures de riz</c:v>
                </c:pt>
                <c:pt idx="32">
                  <c:v>Riz blanc intermédiaire aromatique local</c:v>
                </c:pt>
              </c:strCache>
            </c:strRef>
          </c:cat>
          <c:val>
            <c:numRef>
              <c:f>Feuil2!$C$4:$C$36</c:f>
              <c:numCache>
                <c:formatCode>0.0</c:formatCode>
                <c:ptCount val="33"/>
                <c:pt idx="0">
                  <c:v>58.247422680412377</c:v>
                </c:pt>
                <c:pt idx="1">
                  <c:v>57.388316151202744</c:v>
                </c:pt>
                <c:pt idx="2">
                  <c:v>48.797250859106526</c:v>
                </c:pt>
                <c:pt idx="3">
                  <c:v>42.611683848797249</c:v>
                </c:pt>
                <c:pt idx="4">
                  <c:v>37.628865979381445</c:v>
                </c:pt>
                <c:pt idx="5">
                  <c:v>25.601374570446733</c:v>
                </c:pt>
                <c:pt idx="6">
                  <c:v>25.257731958762886</c:v>
                </c:pt>
                <c:pt idx="7">
                  <c:v>22.680412371134022</c:v>
                </c:pt>
                <c:pt idx="8">
                  <c:v>18.72852233676976</c:v>
                </c:pt>
                <c:pt idx="9">
                  <c:v>18.384879725085913</c:v>
                </c:pt>
                <c:pt idx="10">
                  <c:v>6.0137457044673539</c:v>
                </c:pt>
                <c:pt idx="11">
                  <c:v>5.8419243986254292</c:v>
                </c:pt>
                <c:pt idx="12">
                  <c:v>4.8109965635738838</c:v>
                </c:pt>
                <c:pt idx="13">
                  <c:v>4.8109965635738838</c:v>
                </c:pt>
                <c:pt idx="14">
                  <c:v>4.1237113402061851</c:v>
                </c:pt>
                <c:pt idx="15">
                  <c:v>3.608247422680412</c:v>
                </c:pt>
                <c:pt idx="16">
                  <c:v>3.0927835051546393</c:v>
                </c:pt>
                <c:pt idx="17">
                  <c:v>3.0927835051546393</c:v>
                </c:pt>
                <c:pt idx="18">
                  <c:v>1.5463917525773196</c:v>
                </c:pt>
                <c:pt idx="19">
                  <c:v>1.5463917525773196</c:v>
                </c:pt>
                <c:pt idx="20">
                  <c:v>0.85910652920962205</c:v>
                </c:pt>
                <c:pt idx="21">
                  <c:v>0.6872852233676976</c:v>
                </c:pt>
                <c:pt idx="22">
                  <c:v>0.51546391752577314</c:v>
                </c:pt>
                <c:pt idx="23">
                  <c:v>0.51546391752577314</c:v>
                </c:pt>
                <c:pt idx="24">
                  <c:v>0.51546391752577314</c:v>
                </c:pt>
                <c:pt idx="25">
                  <c:v>0.3436426116838488</c:v>
                </c:pt>
                <c:pt idx="26">
                  <c:v>0.3436426116838488</c:v>
                </c:pt>
                <c:pt idx="27">
                  <c:v>0.3436426116838488</c:v>
                </c:pt>
                <c:pt idx="28">
                  <c:v>0.1718213058419244</c:v>
                </c:pt>
                <c:pt idx="29">
                  <c:v>0.1718213058419244</c:v>
                </c:pt>
                <c:pt idx="30">
                  <c:v>0.1718213058419244</c:v>
                </c:pt>
                <c:pt idx="31">
                  <c:v>0.1718213058419244</c:v>
                </c:pt>
                <c:pt idx="32">
                  <c:v>0.1718213058419244</c:v>
                </c:pt>
              </c:numCache>
            </c:numRef>
          </c:val>
          <c:extLst xmlns:c16r2="http://schemas.microsoft.com/office/drawing/2015/06/chart">
            <c:ext xmlns:c16="http://schemas.microsoft.com/office/drawing/2014/chart" uri="{C3380CC4-5D6E-409C-BE32-E72D297353CC}">
              <c16:uniqueId val="{00000000-E22E-4334-869D-DC9FD741C548}"/>
            </c:ext>
          </c:extLst>
        </c:ser>
        <c:dLbls>
          <c:showLegendKey val="0"/>
          <c:showVal val="0"/>
          <c:showCatName val="0"/>
          <c:showSerName val="0"/>
          <c:showPercent val="0"/>
          <c:showBubbleSize val="0"/>
        </c:dLbls>
        <c:gapWidth val="219"/>
        <c:overlap val="-27"/>
        <c:axId val="450869920"/>
        <c:axId val="450870704"/>
      </c:barChart>
      <c:catAx>
        <c:axId val="450869920"/>
        <c:scaling>
          <c:orientation val="minMax"/>
        </c:scaling>
        <c:delete val="0"/>
        <c:axPos val="b"/>
        <c:numFmt formatCode="General" sourceLinked="1"/>
        <c:majorTickMark val="none"/>
        <c:minorTickMark val="none"/>
        <c:tickLblPos val="nextTo"/>
        <c:spPr>
          <a:noFill/>
          <a:ln w="9552" cap="flat" cmpd="sng" algn="ctr">
            <a:solidFill>
              <a:schemeClr val="tx1">
                <a:lumMod val="15000"/>
                <a:lumOff val="85000"/>
              </a:schemeClr>
            </a:solidFill>
            <a:round/>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fr-FR"/>
          </a:p>
        </c:txPr>
        <c:crossAx val="450870704"/>
        <c:crosses val="autoZero"/>
        <c:auto val="1"/>
        <c:lblAlgn val="ctr"/>
        <c:lblOffset val="100"/>
        <c:noMultiLvlLbl val="0"/>
      </c:catAx>
      <c:valAx>
        <c:axId val="450870704"/>
        <c:scaling>
          <c:orientation val="minMax"/>
        </c:scaling>
        <c:delete val="0"/>
        <c:axPos val="l"/>
        <c:majorGridlines>
          <c:spPr>
            <a:ln w="9552"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fr-FR"/>
          </a:p>
        </c:txPr>
        <c:crossAx val="450869920"/>
        <c:crosses val="autoZero"/>
        <c:crossBetween val="between"/>
      </c:valAx>
      <c:spPr>
        <a:noFill/>
        <a:ln w="25473">
          <a:noFill/>
        </a:ln>
      </c:spPr>
    </c:plotArea>
    <c:plotVisOnly val="1"/>
    <c:dispBlanksAs val="gap"/>
    <c:showDLblsOverMax val="0"/>
  </c:chart>
  <c:spPr>
    <a:solidFill>
      <a:schemeClr val="bg1"/>
    </a:solidFill>
    <a:ln w="9552"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cat>
            <c:strRef>
              <c:f>Feuil1!$A$4:$A$25</c:f>
              <c:strCache>
                <c:ptCount val="22"/>
                <c:pt idx="0">
                  <c:v>Riz blanc brise ordinaire importe</c:v>
                </c:pt>
                <c:pt idx="1">
                  <c:v>Mil grain</c:v>
                </c:pt>
                <c:pt idx="2">
                  <c:v>Mais grain</c:v>
                </c:pt>
                <c:pt idx="3">
                  <c:v>Riz blanc entier ordinaire local</c:v>
                </c:pt>
                <c:pt idx="4">
                  <c:v>Riz blanc brise parfume importe</c:v>
                </c:pt>
                <c:pt idx="5">
                  <c:v>Riz blanc entier ordinaire importe</c:v>
                </c:pt>
                <c:pt idx="6">
                  <c:v>Riz blanc brise ordinaire local</c:v>
                </c:pt>
                <c:pt idx="7">
                  <c:v>Riz blanc entier parfume importe</c:v>
                </c:pt>
                <c:pt idx="8">
                  <c:v>Sorgho grain</c:v>
                </c:pt>
                <c:pt idx="9">
                  <c:v>Autres (mil)</c:v>
                </c:pt>
                <c:pt idx="10">
                  <c:v>Riz blanc intermédiaire ordinaire local</c:v>
                </c:pt>
                <c:pt idx="11">
                  <c:v>Sankhal de mil</c:v>
                </c:pt>
                <c:pt idx="12">
                  <c:v>Autres (mais)</c:v>
                </c:pt>
                <c:pt idx="13">
                  <c:v>Riz blanc brise aromatique local</c:v>
                </c:pt>
                <c:pt idx="14">
                  <c:v>Farine de mil</c:v>
                </c:pt>
                <c:pt idx="15">
                  <c:v>Riz blanc entier aromatique local</c:v>
                </c:pt>
                <c:pt idx="16">
                  <c:v>Brisures de mais</c:v>
                </c:pt>
                <c:pt idx="17">
                  <c:v>Thiéré brut de mil</c:v>
                </c:pt>
                <c:pt idx="18">
                  <c:v>Fonio grain</c:v>
                </c:pt>
                <c:pt idx="19">
                  <c:v>Thiakry brut de mil</c:v>
                </c:pt>
                <c:pt idx="20">
                  <c:v>Arraw de mil</c:v>
                </c:pt>
                <c:pt idx="21">
                  <c:v>Paddy ordinaire</c:v>
                </c:pt>
              </c:strCache>
            </c:strRef>
          </c:cat>
          <c:val>
            <c:numRef>
              <c:f>Feuil1!$B$4:$B$25</c:f>
              <c:numCache>
                <c:formatCode>0.00</c:formatCode>
                <c:ptCount val="22"/>
                <c:pt idx="0">
                  <c:v>26.634577319587628</c:v>
                </c:pt>
                <c:pt idx="1">
                  <c:v>22.268364261168387</c:v>
                </c:pt>
                <c:pt idx="2">
                  <c:v>12.6440206185567</c:v>
                </c:pt>
                <c:pt idx="3">
                  <c:v>11.150103092783505</c:v>
                </c:pt>
                <c:pt idx="4">
                  <c:v>10.064006872852234</c:v>
                </c:pt>
                <c:pt idx="5">
                  <c:v>9.9603092783505165</c:v>
                </c:pt>
                <c:pt idx="6">
                  <c:v>7.0817525773195875</c:v>
                </c:pt>
                <c:pt idx="7">
                  <c:v>5.8881443298969067</c:v>
                </c:pt>
                <c:pt idx="8">
                  <c:v>5.077182130584192</c:v>
                </c:pt>
                <c:pt idx="9">
                  <c:v>1.8971477663230241</c:v>
                </c:pt>
                <c:pt idx="10">
                  <c:v>0.71958762886597938</c:v>
                </c:pt>
                <c:pt idx="11">
                  <c:v>0.71729553264604806</c:v>
                </c:pt>
                <c:pt idx="12">
                  <c:v>0.57420068728522333</c:v>
                </c:pt>
                <c:pt idx="13">
                  <c:v>0.56140893470790376</c:v>
                </c:pt>
                <c:pt idx="14">
                  <c:v>0.40459106529209621</c:v>
                </c:pt>
                <c:pt idx="15">
                  <c:v>0.34072164948453609</c:v>
                </c:pt>
                <c:pt idx="16">
                  <c:v>0.27411683848797253</c:v>
                </c:pt>
                <c:pt idx="17">
                  <c:v>0.19906529209621993</c:v>
                </c:pt>
                <c:pt idx="18">
                  <c:v>0.16085910652920962</c:v>
                </c:pt>
                <c:pt idx="19">
                  <c:v>0.12241924398625428</c:v>
                </c:pt>
                <c:pt idx="20">
                  <c:v>0.11394845360824742</c:v>
                </c:pt>
                <c:pt idx="21">
                  <c:v>9.793814432989692E-2</c:v>
                </c:pt>
              </c:numCache>
            </c:numRef>
          </c:val>
          <c:extLst xmlns:c16r2="http://schemas.microsoft.com/office/drawing/2015/06/chart">
            <c:ext xmlns:c16="http://schemas.microsoft.com/office/drawing/2014/chart" uri="{C3380CC4-5D6E-409C-BE32-E72D297353CC}">
              <c16:uniqueId val="{00000000-399F-4B72-A324-569CD73BA5B1}"/>
            </c:ext>
          </c:extLst>
        </c:ser>
        <c:dLbls>
          <c:showLegendKey val="0"/>
          <c:showVal val="0"/>
          <c:showCatName val="0"/>
          <c:showSerName val="0"/>
          <c:showPercent val="0"/>
          <c:showBubbleSize val="0"/>
        </c:dLbls>
        <c:gapWidth val="150"/>
        <c:shape val="box"/>
        <c:axId val="450867568"/>
        <c:axId val="450868352"/>
        <c:axId val="0"/>
      </c:bar3DChart>
      <c:catAx>
        <c:axId val="450867568"/>
        <c:scaling>
          <c:orientation val="minMax"/>
        </c:scaling>
        <c:delete val="0"/>
        <c:axPos val="b"/>
        <c:title>
          <c:tx>
            <c:rich>
              <a:bodyPr/>
              <a:lstStyle/>
              <a:p>
                <a:pPr>
                  <a:defRPr sz="1004" b="0" i="0" u="none" strike="noStrike" baseline="0">
                    <a:solidFill>
                      <a:srgbClr val="333333"/>
                    </a:solidFill>
                    <a:latin typeface="Calibri"/>
                    <a:ea typeface="Calibri"/>
                    <a:cs typeface="Calibri"/>
                  </a:defRPr>
                </a:pPr>
                <a:r>
                  <a:rPr lang="fr-FR"/>
                  <a:t>Produits achetés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fr-FR"/>
          </a:p>
        </c:txPr>
        <c:crossAx val="450868352"/>
        <c:crosses val="autoZero"/>
        <c:auto val="1"/>
        <c:lblAlgn val="ctr"/>
        <c:lblOffset val="100"/>
        <c:noMultiLvlLbl val="0"/>
      </c:catAx>
      <c:valAx>
        <c:axId val="450868352"/>
        <c:scaling>
          <c:orientation val="minMax"/>
        </c:scaling>
        <c:delete val="0"/>
        <c:axPos val="l"/>
        <c:majorGridlines>
          <c:spPr>
            <a:ln w="9562" cap="flat" cmpd="sng" algn="ctr">
              <a:solidFill>
                <a:schemeClr val="tx1">
                  <a:lumMod val="15000"/>
                  <a:lumOff val="85000"/>
                </a:schemeClr>
              </a:solidFill>
              <a:round/>
            </a:ln>
            <a:effectLst/>
          </c:spPr>
        </c:majorGridlines>
        <c:title>
          <c:tx>
            <c:rich>
              <a:bodyPr/>
              <a:lstStyle/>
              <a:p>
                <a:pPr>
                  <a:defRPr sz="1004" b="0" i="0" u="none" strike="noStrike" baseline="0">
                    <a:solidFill>
                      <a:srgbClr val="333333"/>
                    </a:solidFill>
                    <a:latin typeface="Calibri"/>
                    <a:ea typeface="Calibri"/>
                    <a:cs typeface="Calibri"/>
                  </a:defRPr>
                </a:pPr>
                <a:r>
                  <a:rPr lang="fr-FR"/>
                  <a:t>Quantité achteée (tonnes)</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fr-FR"/>
          </a:p>
        </c:txPr>
        <c:crossAx val="450867568"/>
        <c:crosses val="autoZero"/>
        <c:crossBetween val="between"/>
      </c:valAx>
      <c:spPr>
        <a:noFill/>
        <a:ln w="25498">
          <a:noFill/>
        </a:ln>
      </c:spPr>
    </c:plotArea>
    <c:plotVisOnly val="1"/>
    <c:dispBlanksAs val="gap"/>
    <c:showDLblsOverMax val="0"/>
  </c:chart>
  <c:spPr>
    <a:solidFill>
      <a:schemeClr val="bg1"/>
    </a:solidFill>
    <a:ln w="9562"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2"/>
            </a:solidFill>
            <a:ln>
              <a:noFill/>
            </a:ln>
            <a:effectLst/>
          </c:spPr>
          <c:invertIfNegative val="0"/>
          <c:cat>
            <c:strRef>
              <c:f>Feuil1!$B$4:$B$28</c:f>
              <c:strCache>
                <c:ptCount val="25"/>
                <c:pt idx="0">
                  <c:v>Riz blanc brise ordinaire importe</c:v>
                </c:pt>
                <c:pt idx="1">
                  <c:v>Mil grain</c:v>
                </c:pt>
                <c:pt idx="2">
                  <c:v>Mais grain</c:v>
                </c:pt>
                <c:pt idx="3">
                  <c:v>Riz blanc entier ordinaire local</c:v>
                </c:pt>
                <c:pt idx="4">
                  <c:v>Riz blanc brise parfume importe</c:v>
                </c:pt>
                <c:pt idx="5">
                  <c:v>Riz blanc entier ordinaire importe</c:v>
                </c:pt>
                <c:pt idx="6">
                  <c:v>Riz blanc brise ordinaire local</c:v>
                </c:pt>
                <c:pt idx="7">
                  <c:v>Riz blanc entier parfume importe</c:v>
                </c:pt>
                <c:pt idx="8">
                  <c:v>Sorgho grain</c:v>
                </c:pt>
                <c:pt idx="9">
                  <c:v>Autres (mil)</c:v>
                </c:pt>
                <c:pt idx="10">
                  <c:v>Riz blanc intermédiaire ordinaire local</c:v>
                </c:pt>
                <c:pt idx="11">
                  <c:v>Sankhal de mil</c:v>
                </c:pt>
                <c:pt idx="12">
                  <c:v>Riz blanc brise aromatique local</c:v>
                </c:pt>
                <c:pt idx="13">
                  <c:v>Autres (mais)</c:v>
                </c:pt>
                <c:pt idx="14">
                  <c:v>Brisures de mais</c:v>
                </c:pt>
                <c:pt idx="15">
                  <c:v>Farine de mil</c:v>
                </c:pt>
                <c:pt idx="16">
                  <c:v>Riz blanc entier aromatique local</c:v>
                </c:pt>
                <c:pt idx="17">
                  <c:v>Thiéré brut de mil</c:v>
                </c:pt>
                <c:pt idx="18">
                  <c:v>Thiakry brut de mil</c:v>
                </c:pt>
                <c:pt idx="19">
                  <c:v>Arraw de mil</c:v>
                </c:pt>
                <c:pt idx="20">
                  <c:v>Fonio grain</c:v>
                </c:pt>
                <c:pt idx="21">
                  <c:v>Thiakry de mil mélangé avec du lait caillé</c:v>
                </c:pt>
                <c:pt idx="22">
                  <c:v>Pop corn (mais)</c:v>
                </c:pt>
                <c:pt idx="23">
                  <c:v>Farine de mais</c:v>
                </c:pt>
                <c:pt idx="24">
                  <c:v>Riz blanc intermédiaire aromatique local</c:v>
                </c:pt>
              </c:strCache>
            </c:strRef>
          </c:cat>
          <c:val>
            <c:numRef>
              <c:f>Feuil1!$C$4:$C$28</c:f>
              <c:numCache>
                <c:formatCode>0.00</c:formatCode>
                <c:ptCount val="25"/>
                <c:pt idx="0">
                  <c:v>21.010478350515463</c:v>
                </c:pt>
                <c:pt idx="1">
                  <c:v>18.107391752577321</c:v>
                </c:pt>
                <c:pt idx="2">
                  <c:v>10.674116838487972</c:v>
                </c:pt>
                <c:pt idx="3">
                  <c:v>10.102443298969073</c:v>
                </c:pt>
                <c:pt idx="4">
                  <c:v>8.378501718213057</c:v>
                </c:pt>
                <c:pt idx="5">
                  <c:v>8.1418075601374564</c:v>
                </c:pt>
                <c:pt idx="6">
                  <c:v>6.374817869415808</c:v>
                </c:pt>
                <c:pt idx="7">
                  <c:v>4.4090274914089349</c:v>
                </c:pt>
                <c:pt idx="8">
                  <c:v>3.7543024054982816</c:v>
                </c:pt>
                <c:pt idx="9">
                  <c:v>1.8999312714776631</c:v>
                </c:pt>
                <c:pt idx="10">
                  <c:v>0.6639862542955326</c:v>
                </c:pt>
                <c:pt idx="11">
                  <c:v>0.63381958762886592</c:v>
                </c:pt>
                <c:pt idx="12">
                  <c:v>0.57690721649484544</c:v>
                </c:pt>
                <c:pt idx="13">
                  <c:v>0.50846185567010305</c:v>
                </c:pt>
                <c:pt idx="14">
                  <c:v>0.31859106529209624</c:v>
                </c:pt>
                <c:pt idx="15">
                  <c:v>0.31683848797250858</c:v>
                </c:pt>
                <c:pt idx="16">
                  <c:v>0.24958762886597941</c:v>
                </c:pt>
                <c:pt idx="17">
                  <c:v>0.19377319587628866</c:v>
                </c:pt>
                <c:pt idx="18">
                  <c:v>0.14505154639175261</c:v>
                </c:pt>
                <c:pt idx="19">
                  <c:v>0.12871477663230241</c:v>
                </c:pt>
                <c:pt idx="20">
                  <c:v>0.10263917525773195</c:v>
                </c:pt>
                <c:pt idx="21">
                  <c:v>5.1360824742268045E-2</c:v>
                </c:pt>
                <c:pt idx="22">
                  <c:v>3.4364261168384876E-2</c:v>
                </c:pt>
                <c:pt idx="23">
                  <c:v>2.7608247422680414E-2</c:v>
                </c:pt>
                <c:pt idx="24">
                  <c:v>2.0618556701030924E-2</c:v>
                </c:pt>
              </c:numCache>
            </c:numRef>
          </c:val>
          <c:extLst xmlns:c16r2="http://schemas.microsoft.com/office/drawing/2015/06/chart">
            <c:ext xmlns:c16="http://schemas.microsoft.com/office/drawing/2014/chart" uri="{C3380CC4-5D6E-409C-BE32-E72D297353CC}">
              <c16:uniqueId val="{00000000-551E-452E-BC3C-894E2ABCE718}"/>
            </c:ext>
          </c:extLst>
        </c:ser>
        <c:dLbls>
          <c:showLegendKey val="0"/>
          <c:showVal val="0"/>
          <c:showCatName val="0"/>
          <c:showSerName val="0"/>
          <c:showPercent val="0"/>
          <c:showBubbleSize val="0"/>
        </c:dLbls>
        <c:gapWidth val="219"/>
        <c:overlap val="-27"/>
        <c:axId val="367476536"/>
        <c:axId val="367474576"/>
      </c:barChart>
      <c:catAx>
        <c:axId val="367476536"/>
        <c:scaling>
          <c:orientation val="minMax"/>
        </c:scaling>
        <c:delete val="0"/>
        <c:axPos val="b"/>
        <c:title>
          <c:tx>
            <c:rich>
              <a:bodyPr/>
              <a:lstStyle/>
              <a:p>
                <a:pPr>
                  <a:defRPr sz="992" b="0" i="0" u="none" strike="noStrike" baseline="0">
                    <a:solidFill>
                      <a:srgbClr val="333333"/>
                    </a:solidFill>
                    <a:latin typeface="Calibri"/>
                    <a:ea typeface="Calibri"/>
                    <a:cs typeface="Calibri"/>
                  </a:defRPr>
                </a:pPr>
                <a:r>
                  <a:rPr lang="fr-FR"/>
                  <a:t>Produits</a:t>
                </a:r>
              </a:p>
            </c:rich>
          </c:tx>
          <c:overlay val="0"/>
          <c:spPr>
            <a:noFill/>
            <a:ln>
              <a:noFill/>
            </a:ln>
            <a:effectLst/>
          </c:spPr>
        </c:title>
        <c:numFmt formatCode="General" sourceLinked="1"/>
        <c:majorTickMark val="none"/>
        <c:minorTickMark val="none"/>
        <c:tickLblPos val="nextTo"/>
        <c:spPr>
          <a:noFill/>
          <a:ln w="9450" cap="flat" cmpd="sng" algn="ctr">
            <a:solidFill>
              <a:schemeClr val="tx1">
                <a:lumMod val="15000"/>
                <a:lumOff val="85000"/>
              </a:schemeClr>
            </a:solidFill>
            <a:round/>
          </a:ln>
          <a:effectLst/>
        </c:spPr>
        <c:txPr>
          <a:bodyPr rot="-60000000" spcFirstLastPara="1" vertOverflow="ellipsis" vert="horz" wrap="square" anchor="ctr" anchorCtr="1"/>
          <a:lstStyle/>
          <a:p>
            <a:pPr>
              <a:defRPr sz="893" b="0" i="0" u="none" strike="noStrike" kern="1200" baseline="0">
                <a:solidFill>
                  <a:schemeClr val="tx1">
                    <a:lumMod val="65000"/>
                    <a:lumOff val="35000"/>
                  </a:schemeClr>
                </a:solidFill>
                <a:latin typeface="+mn-lt"/>
                <a:ea typeface="+mn-ea"/>
                <a:cs typeface="+mn-cs"/>
              </a:defRPr>
            </a:pPr>
            <a:endParaRPr lang="fr-FR"/>
          </a:p>
        </c:txPr>
        <c:crossAx val="367474576"/>
        <c:crosses val="autoZero"/>
        <c:auto val="1"/>
        <c:lblAlgn val="ctr"/>
        <c:lblOffset val="100"/>
        <c:noMultiLvlLbl val="0"/>
      </c:catAx>
      <c:valAx>
        <c:axId val="367474576"/>
        <c:scaling>
          <c:orientation val="minMax"/>
        </c:scaling>
        <c:delete val="0"/>
        <c:axPos val="l"/>
        <c:majorGridlines>
          <c:spPr>
            <a:ln w="9450" cap="flat" cmpd="sng" algn="ctr">
              <a:solidFill>
                <a:schemeClr val="tx1">
                  <a:lumMod val="15000"/>
                  <a:lumOff val="85000"/>
                </a:schemeClr>
              </a:solidFill>
              <a:round/>
            </a:ln>
            <a:effectLst/>
          </c:spPr>
        </c:majorGridlines>
        <c:title>
          <c:tx>
            <c:rich>
              <a:bodyPr/>
              <a:lstStyle/>
              <a:p>
                <a:pPr>
                  <a:defRPr sz="992" b="0" i="0" u="none" strike="noStrike" baseline="0">
                    <a:solidFill>
                      <a:srgbClr val="333333"/>
                    </a:solidFill>
                    <a:latin typeface="Calibri"/>
                    <a:ea typeface="Calibri"/>
                    <a:cs typeface="Calibri"/>
                  </a:defRPr>
                </a:pPr>
                <a:r>
                  <a:rPr lang="fr-FR"/>
                  <a:t>Quantités (tonnes)</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93" b="0" i="0" u="none" strike="noStrike" kern="1200" baseline="0">
                <a:solidFill>
                  <a:schemeClr val="tx1">
                    <a:lumMod val="65000"/>
                    <a:lumOff val="35000"/>
                  </a:schemeClr>
                </a:solidFill>
                <a:latin typeface="+mn-lt"/>
                <a:ea typeface="+mn-ea"/>
                <a:cs typeface="+mn-cs"/>
              </a:defRPr>
            </a:pPr>
            <a:endParaRPr lang="fr-FR"/>
          </a:p>
        </c:txPr>
        <c:crossAx val="367476536"/>
        <c:crosses val="autoZero"/>
        <c:crossBetween val="between"/>
      </c:valAx>
      <c:spPr>
        <a:noFill/>
        <a:ln w="25200">
          <a:noFill/>
        </a:ln>
      </c:spPr>
    </c:plotArea>
    <c:plotVisOnly val="1"/>
    <c:dispBlanksAs val="gap"/>
    <c:showDLblsOverMax val="0"/>
  </c:chart>
  <c:spPr>
    <a:solidFill>
      <a:schemeClr val="bg1"/>
    </a:solidFill>
    <a:ln w="9450"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34AAC-B200-4BE0-80DD-D41238FA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33</Pages>
  <Words>8681</Words>
  <Characters>47747</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Ndeye Fatou Faye</dc:creator>
  <cp:keywords/>
  <dc:description/>
  <cp:lastModifiedBy>Lenovo</cp:lastModifiedBy>
  <cp:revision>22</cp:revision>
  <dcterms:created xsi:type="dcterms:W3CDTF">2020-03-03T15:59:00Z</dcterms:created>
  <dcterms:modified xsi:type="dcterms:W3CDTF">2022-07-26T12:33:00Z</dcterms:modified>
</cp:coreProperties>
</file>